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10" w:rsidRDefault="000E7610" w:rsidP="00D17146">
      <w:pPr>
        <w:pStyle w:val="Heading1"/>
      </w:pPr>
      <w:r w:rsidRPr="000E7610">
        <w:rPr>
          <w:noProof/>
        </w:rPr>
        <w:drawing>
          <wp:inline distT="0" distB="0" distL="0" distR="0">
            <wp:extent cx="1504950" cy="8382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504950" cy="838200"/>
                    </a:xfrm>
                    <a:prstGeom prst="rect">
                      <a:avLst/>
                    </a:prstGeom>
                    <a:noFill/>
                    <a:ln w="9525">
                      <a:noFill/>
                      <a:miter lim="800000"/>
                      <a:headEnd/>
                      <a:tailEnd/>
                    </a:ln>
                  </pic:spPr>
                </pic:pic>
              </a:graphicData>
            </a:graphic>
          </wp:inline>
        </w:drawing>
      </w:r>
    </w:p>
    <w:p w:rsidR="000E7610" w:rsidRDefault="000E7610" w:rsidP="00D17146">
      <w:pPr>
        <w:pStyle w:val="Heading1"/>
      </w:pPr>
    </w:p>
    <w:p w:rsidR="007248A9" w:rsidRDefault="00AD4D29" w:rsidP="00D17146">
      <w:pPr>
        <w:pStyle w:val="Heading1"/>
      </w:pPr>
      <w:r>
        <w:t>Quali</w:t>
      </w:r>
      <w:r w:rsidR="00D3064E">
        <w:t>ty of life and independence 2017</w:t>
      </w:r>
      <w:r>
        <w:t xml:space="preserve"> -w</w:t>
      </w:r>
      <w:r w:rsidR="007248A9">
        <w:t xml:space="preserve">hy Attendance Allowance </w:t>
      </w:r>
      <w:r w:rsidR="00745EB8">
        <w:t>is so important to blind and partially sighted people</w:t>
      </w:r>
    </w:p>
    <w:p w:rsidR="00456106" w:rsidRDefault="00456106" w:rsidP="00D17146"/>
    <w:p w:rsidR="00456106" w:rsidRPr="00456106" w:rsidRDefault="00090D4B" w:rsidP="00D17146">
      <w:pPr>
        <w:rPr>
          <w:b/>
          <w:sz w:val="36"/>
        </w:rPr>
      </w:pPr>
      <w:r>
        <w:rPr>
          <w:b/>
          <w:sz w:val="36"/>
        </w:rPr>
        <w:t>Final</w:t>
      </w:r>
      <w:r w:rsidR="00456106" w:rsidRPr="00456106">
        <w:rPr>
          <w:b/>
          <w:sz w:val="36"/>
        </w:rPr>
        <w:t xml:space="preserve"> report </w:t>
      </w:r>
    </w:p>
    <w:p w:rsidR="00745EB8" w:rsidRDefault="00745EB8" w:rsidP="00D17146"/>
    <w:p w:rsidR="00745EB8" w:rsidRDefault="00C65ED7" w:rsidP="00D17146">
      <w:r>
        <w:t>Geoff Fimister, Puja Joshi, Kate Flynn and Catherine Dennison</w:t>
      </w:r>
    </w:p>
    <w:p w:rsidR="00745EB8" w:rsidRDefault="00745EB8" w:rsidP="00D17146"/>
    <w:p w:rsidR="00745EB8" w:rsidRDefault="00C65ED7" w:rsidP="00D17146">
      <w:r>
        <w:t>April</w:t>
      </w:r>
      <w:r w:rsidR="00FA38E7">
        <w:t xml:space="preserve"> </w:t>
      </w:r>
      <w:r w:rsidR="00D3064E">
        <w:t>2017</w:t>
      </w:r>
      <w:r w:rsidR="00745EB8">
        <w:t xml:space="preserve"> </w:t>
      </w:r>
    </w:p>
    <w:p w:rsidR="00745EB8" w:rsidRDefault="00745EB8" w:rsidP="00D17146"/>
    <w:p w:rsidR="00745EB8" w:rsidRDefault="00745EB8" w:rsidP="00D17146"/>
    <w:p w:rsidR="00745EB8" w:rsidRDefault="00745EB8" w:rsidP="00D17146"/>
    <w:p w:rsidR="00745EB8" w:rsidRPr="001413E8" w:rsidRDefault="00745EB8" w:rsidP="001413E8">
      <w:pPr>
        <w:rPr>
          <w:b/>
          <w:sz w:val="36"/>
        </w:rPr>
      </w:pPr>
      <w:r w:rsidRPr="001413E8">
        <w:rPr>
          <w:b/>
          <w:sz w:val="36"/>
        </w:rPr>
        <w:br w:type="page"/>
      </w:r>
    </w:p>
    <w:p w:rsidR="00745EB8" w:rsidRDefault="008F77D2" w:rsidP="00D17146">
      <w:pPr>
        <w:pStyle w:val="Heading2"/>
      </w:pPr>
      <w:r>
        <w:lastRenderedPageBreak/>
        <w:t>Key findings and messages</w:t>
      </w:r>
    </w:p>
    <w:p w:rsidR="00511D6D" w:rsidRPr="00511D6D" w:rsidRDefault="00511D6D" w:rsidP="00511D6D"/>
    <w:p w:rsidR="00653E1D" w:rsidRDefault="00FE619F" w:rsidP="00D2352D">
      <w:pPr>
        <w:pStyle w:val="ListBullet"/>
      </w:pPr>
      <w:r>
        <w:t>Attendance Allowance (AA) is a benefit available to disabled people aged 65 and above to help with the additional costs of disability. It plays an important role in promoting independent living.</w:t>
      </w:r>
    </w:p>
    <w:p w:rsidR="00FE619F" w:rsidRDefault="00FE619F" w:rsidP="00FE619F">
      <w:pPr>
        <w:pStyle w:val="ListBullet"/>
        <w:numPr>
          <w:ilvl w:val="0"/>
          <w:numId w:val="0"/>
        </w:numPr>
        <w:ind w:left="360"/>
      </w:pPr>
    </w:p>
    <w:p w:rsidR="00FE619F" w:rsidRDefault="00FE619F" w:rsidP="00D2352D">
      <w:pPr>
        <w:pStyle w:val="ListBullet"/>
      </w:pPr>
      <w:r>
        <w:t xml:space="preserve">There were 52 respondents to our survey from across England, with greatest representation in </w:t>
      </w:r>
      <w:r w:rsidRPr="00927FF6">
        <w:t>the South East, West Midlands and London.</w:t>
      </w:r>
    </w:p>
    <w:p w:rsidR="00AD64EA" w:rsidRDefault="00AD64EA" w:rsidP="00D2352D">
      <w:pPr>
        <w:pStyle w:val="ListBullet"/>
        <w:numPr>
          <w:ilvl w:val="0"/>
          <w:numId w:val="0"/>
        </w:numPr>
        <w:ind w:left="360"/>
      </w:pPr>
    </w:p>
    <w:p w:rsidR="00653E1D" w:rsidRDefault="00927FF6" w:rsidP="00D17146">
      <w:pPr>
        <w:pStyle w:val="ListBullet"/>
      </w:pPr>
      <w:r w:rsidRPr="0062057E">
        <w:t>The ge</w:t>
      </w:r>
      <w:r>
        <w:t>nder split of respondents was roughly equal and t</w:t>
      </w:r>
      <w:r w:rsidR="00653E1D" w:rsidRPr="00927FF6">
        <w:t>he majority were in their eighties.</w:t>
      </w:r>
      <w:r w:rsidR="00653E1D">
        <w:t xml:space="preserve"> </w:t>
      </w:r>
    </w:p>
    <w:p w:rsidR="00AD64EA" w:rsidRDefault="00AD64EA" w:rsidP="00AD64EA">
      <w:pPr>
        <w:pStyle w:val="ListBullet"/>
        <w:numPr>
          <w:ilvl w:val="0"/>
          <w:numId w:val="0"/>
        </w:numPr>
        <w:ind w:left="360"/>
      </w:pPr>
    </w:p>
    <w:p w:rsidR="00110DC8" w:rsidRDefault="00653E1D" w:rsidP="00110DC8">
      <w:pPr>
        <w:pStyle w:val="ListBullet"/>
      </w:pPr>
      <w:r w:rsidRPr="00110DC8">
        <w:t>Around half of respondents lived alone and half lived with a partner.</w:t>
      </w:r>
    </w:p>
    <w:p w:rsidR="00110DC8" w:rsidRDefault="00110DC8" w:rsidP="00110DC8">
      <w:pPr>
        <w:pStyle w:val="ListBullet"/>
        <w:numPr>
          <w:ilvl w:val="0"/>
          <w:numId w:val="0"/>
        </w:numPr>
        <w:ind w:left="360"/>
      </w:pPr>
    </w:p>
    <w:p w:rsidR="00110DC8" w:rsidRDefault="00110DC8" w:rsidP="00110DC8">
      <w:pPr>
        <w:pStyle w:val="ListBullet"/>
      </w:pPr>
      <w:r>
        <w:t>62 per cent of respondents (32 people) received the lowe</w:t>
      </w:r>
      <w:r w:rsidR="00FE619F">
        <w:t>r rate of AA</w:t>
      </w:r>
      <w:r>
        <w:t xml:space="preserve"> and 38 per cent (20 people) received the higher rate.</w:t>
      </w:r>
    </w:p>
    <w:p w:rsidR="00110DC8" w:rsidRDefault="00110DC8" w:rsidP="00110DC8">
      <w:pPr>
        <w:pStyle w:val="ListBullet"/>
        <w:numPr>
          <w:ilvl w:val="0"/>
          <w:numId w:val="0"/>
        </w:numPr>
        <w:ind w:left="360"/>
      </w:pPr>
    </w:p>
    <w:p w:rsidR="00110DC8" w:rsidRDefault="00110DC8" w:rsidP="00110DC8">
      <w:pPr>
        <w:pStyle w:val="ListBullet"/>
      </w:pPr>
      <w:r>
        <w:t>Nearly all respondents received help from someone. Most commonly, they recei</w:t>
      </w:r>
      <w:r w:rsidR="00FE619F">
        <w:t>ved help from a carer who did not</w:t>
      </w:r>
      <w:r>
        <w:t xml:space="preserve"> live with them (44 per cent of respondents; 23 people). Only three respondents said that someone received Carer’s Allowance for helping them.</w:t>
      </w:r>
    </w:p>
    <w:p w:rsidR="00110DC8" w:rsidRDefault="00110DC8" w:rsidP="00110DC8">
      <w:pPr>
        <w:pStyle w:val="ListBullet"/>
        <w:numPr>
          <w:ilvl w:val="0"/>
          <w:numId w:val="0"/>
        </w:numPr>
        <w:ind w:left="360"/>
      </w:pPr>
    </w:p>
    <w:p w:rsidR="00110DC8" w:rsidRDefault="00110DC8" w:rsidP="00110DC8">
      <w:pPr>
        <w:pStyle w:val="ListBullet"/>
      </w:pPr>
      <w:r>
        <w:t>88 per cent (46 people) received help from a carer/</w:t>
      </w:r>
      <w:r w:rsidR="00FE619F">
        <w:t xml:space="preserve"> </w:t>
      </w:r>
      <w:r>
        <w:t>other person with travel to and from the hospital; 86 per cent (45 people) with housework; and 83 per cent (43 people) with cleaning.</w:t>
      </w:r>
    </w:p>
    <w:p w:rsidR="00110DC8" w:rsidRDefault="00110DC8" w:rsidP="00110DC8">
      <w:pPr>
        <w:pStyle w:val="ListBullet"/>
        <w:numPr>
          <w:ilvl w:val="0"/>
          <w:numId w:val="0"/>
        </w:numPr>
        <w:ind w:left="360"/>
      </w:pPr>
    </w:p>
    <w:p w:rsidR="00110DC8" w:rsidRDefault="00110DC8" w:rsidP="00110DC8">
      <w:pPr>
        <w:pStyle w:val="ListBullet"/>
      </w:pPr>
      <w:r>
        <w:t>Levels of support from social services were low, with the majority of respondents (94 per cent; 49 people) saying they received no help from social services.</w:t>
      </w:r>
    </w:p>
    <w:p w:rsidR="00110DC8" w:rsidRDefault="00110DC8" w:rsidP="00110DC8">
      <w:pPr>
        <w:pStyle w:val="ListBullet"/>
        <w:numPr>
          <w:ilvl w:val="0"/>
          <w:numId w:val="0"/>
        </w:numPr>
        <w:ind w:left="360"/>
      </w:pPr>
    </w:p>
    <w:p w:rsidR="00110DC8" w:rsidRDefault="00FE619F" w:rsidP="00110DC8">
      <w:pPr>
        <w:pStyle w:val="ListBullet"/>
      </w:pPr>
      <w:r>
        <w:t>Respondents used their AA in a variety of ways. The most common use</w:t>
      </w:r>
      <w:r w:rsidR="00110DC8">
        <w:t xml:space="preserve"> was for travel to and from the hospital and to and from the doctor (94 per cent; 49 people), suggesting that the payment is particularly important for accessing medical care.</w:t>
      </w:r>
      <w:r>
        <w:t xml:space="preserve"> Other uses included taxis, th</w:t>
      </w:r>
      <w:r w:rsidR="009963E5">
        <w:t xml:space="preserve">e hairdresser, window cleaning, </w:t>
      </w:r>
      <w:proofErr w:type="gramStart"/>
      <w:r>
        <w:t>gardening</w:t>
      </w:r>
      <w:proofErr w:type="gramEnd"/>
      <w:r w:rsidR="009963E5">
        <w:t>, accessing support in the home</w:t>
      </w:r>
      <w:r>
        <w:t xml:space="preserve"> and visiting the chiropodist.</w:t>
      </w:r>
    </w:p>
    <w:p w:rsidR="00110DC8" w:rsidRDefault="00110DC8" w:rsidP="00110DC8">
      <w:pPr>
        <w:pStyle w:val="ListBullet"/>
        <w:numPr>
          <w:ilvl w:val="0"/>
          <w:numId w:val="0"/>
        </w:numPr>
        <w:ind w:left="360"/>
      </w:pPr>
    </w:p>
    <w:p w:rsidR="00745EB8" w:rsidRDefault="00110DC8" w:rsidP="002D7516">
      <w:pPr>
        <w:pStyle w:val="ListBullet"/>
      </w:pPr>
      <w:r>
        <w:t xml:space="preserve">All respondents said that losing AA would make a difference to their lives. </w:t>
      </w:r>
      <w:r w:rsidR="002D7516" w:rsidRPr="002D7516">
        <w:t xml:space="preserve">The most common example of the impact the loss would have was </w:t>
      </w:r>
      <w:r>
        <w:t>difficulty of paying for travel and leaving the house, as well as struggling more financially</w:t>
      </w:r>
      <w:r w:rsidR="00D3064E">
        <w:t>.</w:t>
      </w:r>
    </w:p>
    <w:p w:rsidR="008D7A9D" w:rsidRPr="00FA6809" w:rsidRDefault="008D7A9D" w:rsidP="00D17146">
      <w:pPr>
        <w:rPr>
          <w:b/>
          <w:szCs w:val="28"/>
        </w:rPr>
      </w:pPr>
      <w:r w:rsidRPr="00FA6809">
        <w:rPr>
          <w:b/>
          <w:szCs w:val="28"/>
        </w:rPr>
        <w:br w:type="page"/>
      </w:r>
    </w:p>
    <w:p w:rsidR="00745EB8" w:rsidRPr="0079346E" w:rsidRDefault="007D5E8F" w:rsidP="0079346E">
      <w:pPr>
        <w:pStyle w:val="Heading2"/>
        <w:rPr>
          <w:sz w:val="32"/>
          <w:szCs w:val="32"/>
        </w:rPr>
      </w:pPr>
      <w:r w:rsidRPr="00EC6FCB">
        <w:rPr>
          <w:sz w:val="32"/>
          <w:szCs w:val="32"/>
        </w:rPr>
        <w:lastRenderedPageBreak/>
        <w:t xml:space="preserve">1. </w:t>
      </w:r>
      <w:r w:rsidR="00745EB8" w:rsidRPr="00EC6FCB">
        <w:rPr>
          <w:sz w:val="32"/>
          <w:szCs w:val="32"/>
        </w:rPr>
        <w:t>Introduction</w:t>
      </w:r>
      <w:r w:rsidR="00745EB8" w:rsidRPr="0079346E">
        <w:rPr>
          <w:sz w:val="32"/>
          <w:szCs w:val="32"/>
        </w:rPr>
        <w:t xml:space="preserve"> </w:t>
      </w:r>
    </w:p>
    <w:p w:rsidR="00393EA5" w:rsidRDefault="007D5E8F" w:rsidP="00393EA5">
      <w:pPr>
        <w:pStyle w:val="Default"/>
        <w:rPr>
          <w:sz w:val="28"/>
          <w:szCs w:val="28"/>
        </w:rPr>
      </w:pPr>
      <w:r>
        <w:rPr>
          <w:sz w:val="28"/>
          <w:szCs w:val="28"/>
        </w:rPr>
        <w:t xml:space="preserve">1.1 </w:t>
      </w:r>
      <w:r w:rsidR="00393EA5">
        <w:rPr>
          <w:sz w:val="28"/>
          <w:szCs w:val="28"/>
        </w:rPr>
        <w:t>In its December 2015 consultation paper on the local government financial settlement</w:t>
      </w:r>
      <w:r w:rsidR="00FC117A">
        <w:rPr>
          <w:sz w:val="28"/>
          <w:szCs w:val="28"/>
        </w:rPr>
        <w:t xml:space="preserve"> [see note 1</w:t>
      </w:r>
      <w:r w:rsidR="00FC117A" w:rsidRPr="009C2D1E">
        <w:rPr>
          <w:sz w:val="28"/>
          <w:szCs w:val="28"/>
        </w:rPr>
        <w:t>]</w:t>
      </w:r>
      <w:r w:rsidR="00FC117A" w:rsidRPr="009C2D1E">
        <w:rPr>
          <w:rStyle w:val="FootnoteReference"/>
          <w:sz w:val="28"/>
          <w:szCs w:val="28"/>
        </w:rPr>
        <w:footnoteReference w:id="1"/>
      </w:r>
      <w:r w:rsidR="00393EA5">
        <w:rPr>
          <w:sz w:val="28"/>
          <w:szCs w:val="28"/>
        </w:rPr>
        <w:t>, the Government announced that it was developing a proposal for the funding for AA to be transferred from the Department for Work and Pensions to the Department for Communities and Local Government, for onward transmission to local authorities in England and to the Welsh Government. (The proposals do not extend to Scotland and Northern Ireland, where different arrangements apply).</w:t>
      </w:r>
    </w:p>
    <w:p w:rsidR="00393EA5" w:rsidRDefault="00393EA5" w:rsidP="00393EA5">
      <w:pPr>
        <w:rPr>
          <w:rFonts w:cs="Arial"/>
          <w:szCs w:val="28"/>
        </w:rPr>
      </w:pPr>
    </w:p>
    <w:p w:rsidR="00393EA5" w:rsidRDefault="00024A25" w:rsidP="00393EA5">
      <w:pPr>
        <w:rPr>
          <w:rFonts w:cs="Arial"/>
          <w:szCs w:val="28"/>
        </w:rPr>
      </w:pPr>
      <w:r>
        <w:rPr>
          <w:rFonts w:cs="Arial"/>
          <w:szCs w:val="28"/>
        </w:rPr>
        <w:t xml:space="preserve">1.2 </w:t>
      </w:r>
      <w:r w:rsidR="00393EA5">
        <w:rPr>
          <w:rFonts w:cs="Arial"/>
          <w:szCs w:val="28"/>
        </w:rPr>
        <w:t>A similar proposal reappeared in the July consultative paper on the projected new business rates regime in England</w:t>
      </w:r>
      <w:r w:rsidR="00FC117A">
        <w:rPr>
          <w:rFonts w:cs="Arial"/>
          <w:szCs w:val="28"/>
        </w:rPr>
        <w:t xml:space="preserve"> [note 2</w:t>
      </w:r>
      <w:r w:rsidR="0079346E">
        <w:rPr>
          <w:rFonts w:cs="Arial"/>
          <w:szCs w:val="28"/>
        </w:rPr>
        <w:t>]</w:t>
      </w:r>
      <w:r w:rsidR="00393EA5">
        <w:rPr>
          <w:rFonts w:cs="Arial"/>
          <w:szCs w:val="28"/>
        </w:rPr>
        <w:t>. The suggested transfer of AA funding would, under these proposals, form part of these new arrangements for local government finance. Any payments made locally, replacing AA in some form, would become a call on business rates rather than a demand-led social security benefit.</w:t>
      </w:r>
    </w:p>
    <w:p w:rsidR="00393EA5" w:rsidRDefault="00393EA5" w:rsidP="00393EA5">
      <w:pPr>
        <w:rPr>
          <w:rFonts w:cs="Arial"/>
          <w:szCs w:val="28"/>
        </w:rPr>
      </w:pPr>
    </w:p>
    <w:p w:rsidR="00393EA5" w:rsidRDefault="00024A25" w:rsidP="00393EA5">
      <w:pPr>
        <w:rPr>
          <w:rFonts w:cs="Arial"/>
          <w:szCs w:val="28"/>
        </w:rPr>
      </w:pPr>
      <w:r>
        <w:rPr>
          <w:rFonts w:cs="Arial"/>
          <w:szCs w:val="28"/>
        </w:rPr>
        <w:t xml:space="preserve">1.3 </w:t>
      </w:r>
      <w:r w:rsidR="00393EA5">
        <w:rPr>
          <w:rFonts w:cs="Arial"/>
          <w:szCs w:val="28"/>
        </w:rPr>
        <w:t>In other words, the former AA funding would be distributed locally, very likely subsumed into the local authority social care rationing system. But recent research published by th</w:t>
      </w:r>
      <w:r w:rsidR="0079346E">
        <w:rPr>
          <w:rFonts w:cs="Arial"/>
          <w:szCs w:val="28"/>
        </w:rPr>
        <w:t>e Strategic Society Centre</w:t>
      </w:r>
      <w:r w:rsidR="00393EA5">
        <w:rPr>
          <w:rFonts w:cs="Arial"/>
          <w:szCs w:val="28"/>
        </w:rPr>
        <w:t xml:space="preserve"> presents evidence suggesting that among AA recipients living at home with some de</w:t>
      </w:r>
      <w:r w:rsidR="00DA0DD9">
        <w:rPr>
          <w:rFonts w:cs="Arial"/>
          <w:szCs w:val="28"/>
        </w:rPr>
        <w:t>gree of mobility, only about 15 per cent</w:t>
      </w:r>
      <w:r w:rsidR="00393EA5">
        <w:rPr>
          <w:rFonts w:cs="Arial"/>
          <w:szCs w:val="28"/>
        </w:rPr>
        <w:t xml:space="preserve"> receive any help from local authority social care</w:t>
      </w:r>
      <w:r w:rsidR="00FC117A">
        <w:rPr>
          <w:rFonts w:cs="Arial"/>
          <w:szCs w:val="28"/>
        </w:rPr>
        <w:t xml:space="preserve"> [note 3</w:t>
      </w:r>
      <w:r w:rsidR="0079346E">
        <w:rPr>
          <w:rFonts w:cs="Arial"/>
          <w:szCs w:val="28"/>
        </w:rPr>
        <w:t>]</w:t>
      </w:r>
      <w:r w:rsidR="00393EA5">
        <w:rPr>
          <w:rFonts w:cs="Arial"/>
          <w:szCs w:val="28"/>
        </w:rPr>
        <w:t>.</w:t>
      </w:r>
    </w:p>
    <w:p w:rsidR="00393EA5" w:rsidRDefault="00393EA5" w:rsidP="00393EA5">
      <w:pPr>
        <w:rPr>
          <w:rFonts w:cs="Arial"/>
          <w:szCs w:val="28"/>
        </w:rPr>
      </w:pPr>
    </w:p>
    <w:p w:rsidR="00393EA5" w:rsidRDefault="00024A25" w:rsidP="00393EA5">
      <w:pPr>
        <w:autoSpaceDE w:val="0"/>
        <w:autoSpaceDN w:val="0"/>
        <w:adjustRightInd w:val="0"/>
        <w:rPr>
          <w:rFonts w:cs="Arial"/>
          <w:szCs w:val="28"/>
        </w:rPr>
      </w:pPr>
      <w:r>
        <w:rPr>
          <w:rFonts w:cs="Arial"/>
          <w:szCs w:val="28"/>
        </w:rPr>
        <w:t xml:space="preserve">1.4 </w:t>
      </w:r>
      <w:r w:rsidR="004229BC">
        <w:rPr>
          <w:rFonts w:cs="Arial"/>
          <w:szCs w:val="28"/>
        </w:rPr>
        <w:t>The clear implication was</w:t>
      </w:r>
      <w:r w:rsidR="00393EA5">
        <w:rPr>
          <w:rFonts w:cs="Arial"/>
          <w:szCs w:val="28"/>
        </w:rPr>
        <w:t xml:space="preserve"> that the former AA would be rationed, very likely means-tested and potentially very difficult to obtain for all but the most severely disabled people. This would remove its role in promoting independent living and keeping disabled people out of the more intensive forms of social care.</w:t>
      </w:r>
    </w:p>
    <w:p w:rsidR="00393EA5" w:rsidRDefault="00393EA5" w:rsidP="00393EA5">
      <w:pPr>
        <w:autoSpaceDE w:val="0"/>
        <w:autoSpaceDN w:val="0"/>
        <w:adjustRightInd w:val="0"/>
        <w:rPr>
          <w:rFonts w:cs="Arial"/>
          <w:szCs w:val="28"/>
        </w:rPr>
      </w:pPr>
    </w:p>
    <w:p w:rsidR="00393EA5" w:rsidRDefault="00FC117A" w:rsidP="00393EA5">
      <w:pPr>
        <w:autoSpaceDE w:val="0"/>
        <w:autoSpaceDN w:val="0"/>
        <w:adjustRightInd w:val="0"/>
        <w:rPr>
          <w:rFonts w:cs="Arial"/>
          <w:szCs w:val="28"/>
        </w:rPr>
      </w:pPr>
      <w:r>
        <w:rPr>
          <w:rFonts w:cs="Arial"/>
          <w:szCs w:val="28"/>
        </w:rPr>
        <w:t xml:space="preserve">1.5 </w:t>
      </w:r>
      <w:r w:rsidR="00393EA5">
        <w:rPr>
          <w:rFonts w:cs="Arial"/>
          <w:szCs w:val="28"/>
        </w:rPr>
        <w:t>Certainly, something needs to be done about social care funding, which is wholly inadequate to cope with existing demand, let alone the challenges posed by an ageing population in</w:t>
      </w:r>
      <w:r w:rsidR="00DA0DD9">
        <w:rPr>
          <w:rFonts w:cs="Arial"/>
          <w:szCs w:val="28"/>
        </w:rPr>
        <w:t xml:space="preserve"> the coming years. But this should</w:t>
      </w:r>
      <w:r w:rsidR="00393EA5">
        <w:rPr>
          <w:rFonts w:cs="Arial"/>
          <w:szCs w:val="28"/>
        </w:rPr>
        <w:t xml:space="preserve"> not be at the expense of AA.</w:t>
      </w:r>
    </w:p>
    <w:p w:rsidR="00393EA5" w:rsidRDefault="00393EA5" w:rsidP="00393EA5">
      <w:pPr>
        <w:rPr>
          <w:rFonts w:cs="Arial"/>
          <w:szCs w:val="28"/>
        </w:rPr>
      </w:pPr>
    </w:p>
    <w:p w:rsidR="00393EA5" w:rsidRDefault="00FC117A" w:rsidP="00393EA5">
      <w:pPr>
        <w:rPr>
          <w:rFonts w:cs="Arial"/>
          <w:szCs w:val="28"/>
        </w:rPr>
      </w:pPr>
      <w:r>
        <w:rPr>
          <w:rFonts w:cs="Arial"/>
          <w:szCs w:val="28"/>
        </w:rPr>
        <w:t xml:space="preserve">1.6 </w:t>
      </w:r>
      <w:r w:rsidR="00393EA5">
        <w:rPr>
          <w:rFonts w:cs="Arial"/>
          <w:szCs w:val="28"/>
        </w:rPr>
        <w:t xml:space="preserve">AA is intended not as an alternative funding mechanism for social care, but to help compensate for the additional costs of disability. As such, it plays a key role in underpinning independent </w:t>
      </w:r>
      <w:r w:rsidR="00393EA5">
        <w:rPr>
          <w:rFonts w:cs="Arial"/>
          <w:szCs w:val="28"/>
        </w:rPr>
        <w:lastRenderedPageBreak/>
        <w:t>living. There are two rates, depending on d</w:t>
      </w:r>
      <w:r w:rsidR="00DA0DD9">
        <w:rPr>
          <w:rFonts w:cs="Arial"/>
          <w:szCs w:val="28"/>
        </w:rPr>
        <w:t>egree of disability – £83.10 and £55.65</w:t>
      </w:r>
      <w:r w:rsidR="00393EA5">
        <w:rPr>
          <w:rFonts w:cs="Arial"/>
          <w:szCs w:val="28"/>
        </w:rPr>
        <w:t xml:space="preserve"> per week</w:t>
      </w:r>
      <w:r w:rsidR="00DA0DD9">
        <w:rPr>
          <w:rFonts w:cs="Arial"/>
          <w:szCs w:val="28"/>
        </w:rPr>
        <w:t xml:space="preserve"> (as of </w:t>
      </w:r>
      <w:r w:rsidR="00FA6809">
        <w:rPr>
          <w:rFonts w:cs="Arial"/>
          <w:szCs w:val="28"/>
        </w:rPr>
        <w:t>April 2017)</w:t>
      </w:r>
      <w:r w:rsidR="00DA0DD9">
        <w:rPr>
          <w:rFonts w:cs="Arial"/>
          <w:szCs w:val="28"/>
        </w:rPr>
        <w:t>. There wa</w:t>
      </w:r>
      <w:r w:rsidR="00393EA5">
        <w:rPr>
          <w:rFonts w:cs="Arial"/>
          <w:szCs w:val="28"/>
        </w:rPr>
        <w:t xml:space="preserve">s no realistic hope, especially given local authorities’ very limited powers to raise additional revenue, that business rates would be able to replicate this support. </w:t>
      </w:r>
    </w:p>
    <w:p w:rsidR="000A44ED" w:rsidRDefault="000A44ED" w:rsidP="00393EA5">
      <w:pPr>
        <w:rPr>
          <w:rFonts w:cs="Arial"/>
          <w:szCs w:val="28"/>
        </w:rPr>
      </w:pPr>
    </w:p>
    <w:p w:rsidR="000A44ED" w:rsidRDefault="00FC117A" w:rsidP="00393EA5">
      <w:pPr>
        <w:rPr>
          <w:rFonts w:cs="Arial"/>
          <w:szCs w:val="28"/>
        </w:rPr>
      </w:pPr>
      <w:r>
        <w:rPr>
          <w:rFonts w:cs="Arial"/>
          <w:szCs w:val="28"/>
        </w:rPr>
        <w:t xml:space="preserve">1.7 </w:t>
      </w:r>
      <w:r w:rsidR="000A44ED">
        <w:rPr>
          <w:rFonts w:cs="Arial"/>
          <w:szCs w:val="28"/>
        </w:rPr>
        <w:t xml:space="preserve">Existing AA claimants would </w:t>
      </w:r>
      <w:r w:rsidR="00DA0DD9">
        <w:rPr>
          <w:rFonts w:cs="Arial"/>
          <w:szCs w:val="28"/>
        </w:rPr>
        <w:t>have been</w:t>
      </w:r>
      <w:r w:rsidR="000A44ED">
        <w:rPr>
          <w:rFonts w:cs="Arial"/>
          <w:szCs w:val="28"/>
        </w:rPr>
        <w:t xml:space="preserve"> protected in some </w:t>
      </w:r>
      <w:r w:rsidR="00DA0DD9">
        <w:rPr>
          <w:rFonts w:cs="Arial"/>
          <w:szCs w:val="28"/>
        </w:rPr>
        <w:t>unspecified way, but this had</w:t>
      </w:r>
      <w:r w:rsidR="000A44ED">
        <w:rPr>
          <w:rFonts w:cs="Arial"/>
          <w:szCs w:val="28"/>
        </w:rPr>
        <w:t xml:space="preserve"> no relevance to long-term structure and to independent living in the future.</w:t>
      </w:r>
    </w:p>
    <w:p w:rsidR="00393EA5" w:rsidRDefault="00393EA5" w:rsidP="00393EA5">
      <w:pPr>
        <w:rPr>
          <w:rFonts w:cs="Arial"/>
          <w:szCs w:val="28"/>
        </w:rPr>
      </w:pPr>
    </w:p>
    <w:p w:rsidR="00393EA5" w:rsidRDefault="00FC117A" w:rsidP="00393EA5">
      <w:pPr>
        <w:rPr>
          <w:rFonts w:cs="Arial"/>
          <w:szCs w:val="28"/>
        </w:rPr>
      </w:pPr>
      <w:r>
        <w:rPr>
          <w:rFonts w:cs="Arial"/>
          <w:szCs w:val="28"/>
        </w:rPr>
        <w:t xml:space="preserve">1.8 </w:t>
      </w:r>
      <w:r w:rsidR="00DA0DD9">
        <w:rPr>
          <w:rFonts w:cs="Arial"/>
          <w:szCs w:val="28"/>
        </w:rPr>
        <w:t>There had</w:t>
      </w:r>
      <w:r w:rsidR="00393EA5">
        <w:rPr>
          <w:rFonts w:cs="Arial"/>
          <w:szCs w:val="28"/>
        </w:rPr>
        <w:t xml:space="preserve"> been a similar attempt to dissolve AA into social care funding previously, in the later stages of the last Labour Government, but the idea was dropped in the run-up to the 2010 General Election, following a vigorous campaign by disability organisations and a Conservative promise not to implement the policy if elected.</w:t>
      </w:r>
    </w:p>
    <w:p w:rsidR="00393EA5" w:rsidRDefault="00393EA5" w:rsidP="00393EA5">
      <w:pPr>
        <w:rPr>
          <w:rFonts w:cs="Arial"/>
          <w:szCs w:val="28"/>
        </w:rPr>
      </w:pPr>
    </w:p>
    <w:p w:rsidR="00393EA5" w:rsidRDefault="00FC117A" w:rsidP="00393EA5">
      <w:pPr>
        <w:rPr>
          <w:rFonts w:cs="Arial"/>
          <w:szCs w:val="28"/>
        </w:rPr>
      </w:pPr>
      <w:r>
        <w:rPr>
          <w:rFonts w:cs="Arial"/>
          <w:szCs w:val="28"/>
        </w:rPr>
        <w:t xml:space="preserve">1.9 </w:t>
      </w:r>
      <w:r w:rsidR="00393EA5">
        <w:rPr>
          <w:rFonts w:cs="Arial"/>
          <w:szCs w:val="28"/>
        </w:rPr>
        <w:t>As part of that campaign, the Royal National Institute of Blind People (RNIB) conducted research, in 2009, based on 116 case studies of blind or partially sighted AA recipients</w:t>
      </w:r>
      <w:r>
        <w:rPr>
          <w:rFonts w:cs="Arial"/>
          <w:szCs w:val="28"/>
        </w:rPr>
        <w:t xml:space="preserve"> [note 4</w:t>
      </w:r>
      <w:r w:rsidR="0079346E">
        <w:rPr>
          <w:rFonts w:cs="Arial"/>
          <w:szCs w:val="28"/>
        </w:rPr>
        <w:t>].</w:t>
      </w:r>
      <w:r w:rsidR="00393EA5">
        <w:rPr>
          <w:rFonts w:cs="Arial"/>
          <w:szCs w:val="28"/>
        </w:rPr>
        <w:t xml:space="preserve"> A striking feature was the sheer practicality of the use that claimants made of their benefit: “getting out and about” for both daily living and leisure purposes; help with shopping, cleaning, gardening – activities crucial to an independent existence and a decent quality of life.</w:t>
      </w:r>
    </w:p>
    <w:p w:rsidR="00393EA5" w:rsidRDefault="00393EA5" w:rsidP="00393EA5">
      <w:pPr>
        <w:rPr>
          <w:rFonts w:cs="Arial"/>
          <w:szCs w:val="28"/>
        </w:rPr>
      </w:pPr>
    </w:p>
    <w:p w:rsidR="00393EA5" w:rsidRDefault="00FC117A" w:rsidP="00393EA5">
      <w:pPr>
        <w:rPr>
          <w:rFonts w:cs="Arial"/>
          <w:szCs w:val="28"/>
        </w:rPr>
      </w:pPr>
      <w:r>
        <w:rPr>
          <w:rFonts w:cs="Arial"/>
          <w:szCs w:val="28"/>
        </w:rPr>
        <w:t xml:space="preserve">1.10 </w:t>
      </w:r>
      <w:r w:rsidR="00FA6809">
        <w:rPr>
          <w:rFonts w:cs="Arial"/>
          <w:szCs w:val="28"/>
        </w:rPr>
        <w:t>Once again, we have found</w:t>
      </w:r>
      <w:r w:rsidR="00393EA5">
        <w:rPr>
          <w:rFonts w:cs="Arial"/>
          <w:szCs w:val="28"/>
        </w:rPr>
        <w:t xml:space="preserve"> ourselves campaigning, along with other disability and older people’s organisations</w:t>
      </w:r>
      <w:r w:rsidR="000B2CB5">
        <w:rPr>
          <w:rFonts w:cs="Arial"/>
          <w:szCs w:val="28"/>
        </w:rPr>
        <w:t xml:space="preserve"> and disabled people themselves</w:t>
      </w:r>
      <w:r w:rsidR="00393EA5">
        <w:rPr>
          <w:rFonts w:cs="Arial"/>
          <w:szCs w:val="28"/>
        </w:rPr>
        <w:t>, to ensure that AA remains a national social security benefit, based on clear entitlements</w:t>
      </w:r>
      <w:r w:rsidR="002E358F">
        <w:rPr>
          <w:rFonts w:cs="Arial"/>
          <w:szCs w:val="28"/>
        </w:rPr>
        <w:t xml:space="preserve"> [note 5]</w:t>
      </w:r>
      <w:r w:rsidR="00393EA5">
        <w:rPr>
          <w:rFonts w:cs="Arial"/>
          <w:szCs w:val="28"/>
        </w:rPr>
        <w:t>. And again, our 2009 research has helped us to make the case – it remains just as relevant today.</w:t>
      </w:r>
    </w:p>
    <w:p w:rsidR="00393EA5" w:rsidRDefault="00393EA5" w:rsidP="00393EA5">
      <w:pPr>
        <w:rPr>
          <w:rFonts w:cs="Arial"/>
          <w:szCs w:val="28"/>
        </w:rPr>
      </w:pPr>
    </w:p>
    <w:p w:rsidR="00FA6809" w:rsidRDefault="00FC117A" w:rsidP="00393EA5">
      <w:pPr>
        <w:rPr>
          <w:rFonts w:cs="Arial"/>
          <w:szCs w:val="28"/>
        </w:rPr>
      </w:pPr>
      <w:r>
        <w:rPr>
          <w:rFonts w:cs="Arial"/>
          <w:szCs w:val="28"/>
        </w:rPr>
        <w:t xml:space="preserve">1.11 </w:t>
      </w:r>
      <w:r w:rsidR="00393EA5">
        <w:rPr>
          <w:rFonts w:cs="Arial"/>
          <w:szCs w:val="28"/>
        </w:rPr>
        <w:t>However, we also thought it useful to revisit this area of inquiry in 2016, to see if the experiences of current AA recipients seem</w:t>
      </w:r>
      <w:r w:rsidR="00DA0DD9">
        <w:rPr>
          <w:rFonts w:cs="Arial"/>
          <w:szCs w:val="28"/>
        </w:rPr>
        <w:t>ed</w:t>
      </w:r>
      <w:r w:rsidR="00393EA5">
        <w:rPr>
          <w:rFonts w:cs="Arial"/>
          <w:szCs w:val="28"/>
        </w:rPr>
        <w:t xml:space="preserve"> any different or if they confirm</w:t>
      </w:r>
      <w:r w:rsidR="00DA0DD9">
        <w:rPr>
          <w:rFonts w:cs="Arial"/>
          <w:szCs w:val="28"/>
        </w:rPr>
        <w:t>ed</w:t>
      </w:r>
      <w:r w:rsidR="00393EA5">
        <w:rPr>
          <w:rFonts w:cs="Arial"/>
          <w:szCs w:val="28"/>
        </w:rPr>
        <w:t xml:space="preserve"> the powerful messages of the original research</w:t>
      </w:r>
      <w:r w:rsidR="003F0F80">
        <w:rPr>
          <w:rFonts w:cs="Arial"/>
          <w:szCs w:val="28"/>
        </w:rPr>
        <w:t xml:space="preserve"> – hence this present report, </w:t>
      </w:r>
      <w:r w:rsidR="00FA6809">
        <w:rPr>
          <w:rFonts w:cs="Arial"/>
          <w:szCs w:val="28"/>
        </w:rPr>
        <w:t>an i</w:t>
      </w:r>
      <w:r w:rsidR="00DA0DD9">
        <w:rPr>
          <w:rFonts w:cs="Arial"/>
          <w:szCs w:val="28"/>
        </w:rPr>
        <w:t>nterim version of which was</w:t>
      </w:r>
      <w:r w:rsidR="003F0F80">
        <w:rPr>
          <w:rFonts w:cs="Arial"/>
          <w:szCs w:val="28"/>
        </w:rPr>
        <w:t xml:space="preserve"> used during the recent campaign to supplement and reinforce its predecessor in feeding into the debate</w:t>
      </w:r>
      <w:r w:rsidR="00FA6809">
        <w:rPr>
          <w:rFonts w:cs="Arial"/>
          <w:szCs w:val="28"/>
        </w:rPr>
        <w:t>.</w:t>
      </w:r>
    </w:p>
    <w:p w:rsidR="00FA6809" w:rsidRDefault="00FA6809" w:rsidP="00393EA5">
      <w:pPr>
        <w:rPr>
          <w:rFonts w:cs="Arial"/>
          <w:szCs w:val="28"/>
        </w:rPr>
      </w:pPr>
    </w:p>
    <w:p w:rsidR="00393EA5" w:rsidRDefault="00FA6809" w:rsidP="00393EA5">
      <w:pPr>
        <w:rPr>
          <w:rFonts w:cs="Arial"/>
          <w:szCs w:val="28"/>
        </w:rPr>
      </w:pPr>
      <w:r>
        <w:rPr>
          <w:rFonts w:cs="Arial"/>
          <w:szCs w:val="28"/>
        </w:rPr>
        <w:t xml:space="preserve">1.12 </w:t>
      </w:r>
      <w:r w:rsidR="003F0F80">
        <w:rPr>
          <w:rFonts w:cs="Arial"/>
          <w:szCs w:val="28"/>
        </w:rPr>
        <w:t xml:space="preserve">In January 2017, </w:t>
      </w:r>
      <w:r w:rsidR="000B2CB5">
        <w:rPr>
          <w:rFonts w:cs="Arial"/>
          <w:szCs w:val="28"/>
        </w:rPr>
        <w:t xml:space="preserve">the Government responded to the business rates consultation and among other things made the very welcome announcement that the proposal to transfer to local government </w:t>
      </w:r>
      <w:r w:rsidR="000B2CB5">
        <w:rPr>
          <w:rFonts w:cs="Arial"/>
          <w:szCs w:val="28"/>
        </w:rPr>
        <w:lastRenderedPageBreak/>
        <w:t>responsibility for the funds currently intended for AA would not proceed. Local government itself had been clear, through evidence submitted by its representative bodies, that AA should continue as a national benefit, in concurrence with the overwhelming consensus among organisations concerned with disability, social care and independent living. It is good that Ministers were prepared to listen.</w:t>
      </w:r>
    </w:p>
    <w:p w:rsidR="000B2CB5" w:rsidRDefault="000B2CB5" w:rsidP="00393EA5">
      <w:pPr>
        <w:rPr>
          <w:rFonts w:cs="Arial"/>
          <w:szCs w:val="28"/>
        </w:rPr>
      </w:pPr>
    </w:p>
    <w:p w:rsidR="000B2CB5" w:rsidRDefault="000B2CB5" w:rsidP="00393EA5">
      <w:pPr>
        <w:rPr>
          <w:rFonts w:cs="Arial"/>
          <w:szCs w:val="28"/>
        </w:rPr>
      </w:pPr>
      <w:r>
        <w:rPr>
          <w:rFonts w:cs="Arial"/>
          <w:szCs w:val="28"/>
        </w:rPr>
        <w:t xml:space="preserve">1.13 Meanwhile, our recent research </w:t>
      </w:r>
      <w:r w:rsidR="004229BC">
        <w:rPr>
          <w:rFonts w:cs="Arial"/>
          <w:szCs w:val="28"/>
        </w:rPr>
        <w:t>findings, supplementing those of the earlier study, remain of interest in illustrating the immensely positive role of AA in promoting independent living among older blind and partially sighted people.</w:t>
      </w:r>
    </w:p>
    <w:p w:rsidR="004229BC" w:rsidRDefault="004229BC">
      <w:r>
        <w:br w:type="page"/>
      </w:r>
    </w:p>
    <w:p w:rsidR="00745EB8" w:rsidRPr="0079346E" w:rsidRDefault="0079346E" w:rsidP="00D17146">
      <w:pPr>
        <w:pStyle w:val="Heading2"/>
        <w:rPr>
          <w:sz w:val="32"/>
          <w:szCs w:val="32"/>
        </w:rPr>
      </w:pPr>
      <w:r>
        <w:rPr>
          <w:sz w:val="32"/>
          <w:szCs w:val="32"/>
        </w:rPr>
        <w:lastRenderedPageBreak/>
        <w:t xml:space="preserve">2. </w:t>
      </w:r>
      <w:r w:rsidR="00745EB8" w:rsidRPr="0079346E">
        <w:rPr>
          <w:sz w:val="32"/>
          <w:szCs w:val="32"/>
        </w:rPr>
        <w:t xml:space="preserve">Methodology of </w:t>
      </w:r>
      <w:r w:rsidR="00455C0D" w:rsidRPr="0079346E">
        <w:rPr>
          <w:sz w:val="32"/>
          <w:szCs w:val="32"/>
        </w:rPr>
        <w:t xml:space="preserve">the </w:t>
      </w:r>
      <w:r w:rsidR="00745EB8" w:rsidRPr="0079346E">
        <w:rPr>
          <w:sz w:val="32"/>
          <w:szCs w:val="32"/>
        </w:rPr>
        <w:t xml:space="preserve">research </w:t>
      </w:r>
    </w:p>
    <w:p w:rsidR="00745EB8" w:rsidRDefault="009C7E6C" w:rsidP="00D17146">
      <w:r>
        <w:t xml:space="preserve">2.1 </w:t>
      </w:r>
      <w:r w:rsidR="00E5653F">
        <w:t xml:space="preserve">We invited blind and partially sighted </w:t>
      </w:r>
      <w:r w:rsidR="00653E1D">
        <w:t>A</w:t>
      </w:r>
      <w:r w:rsidR="00EF0D98">
        <w:t>A</w:t>
      </w:r>
      <w:r w:rsidR="00E5653F">
        <w:t xml:space="preserve"> claimants</w:t>
      </w:r>
      <w:r w:rsidR="00F06D53">
        <w:t xml:space="preserve">, who live in England, </w:t>
      </w:r>
      <w:r w:rsidR="00E5653F">
        <w:t>to</w:t>
      </w:r>
      <w:r w:rsidR="00EF0D98">
        <w:t xml:space="preserve"> </w:t>
      </w:r>
      <w:r w:rsidR="007F581C">
        <w:t xml:space="preserve">complete a survey regarding their circumstances and their use of this benefit </w:t>
      </w:r>
      <w:r w:rsidR="00E042E2">
        <w:t>during</w:t>
      </w:r>
      <w:r w:rsidR="007F581C">
        <w:t xml:space="preserve"> a </w:t>
      </w:r>
      <w:r w:rsidR="00E5653F">
        <w:t>telephone interview</w:t>
      </w:r>
      <w:r w:rsidR="008825EF">
        <w:t xml:space="preserve"> or </w:t>
      </w:r>
      <w:r w:rsidR="00E042E2">
        <w:t xml:space="preserve">via </w:t>
      </w:r>
      <w:r w:rsidR="008825EF">
        <w:t>a web</w:t>
      </w:r>
      <w:r w:rsidR="007F581C">
        <w:t>-based</w:t>
      </w:r>
      <w:r w:rsidR="008825EF">
        <w:t xml:space="preserve"> survey</w:t>
      </w:r>
      <w:r w:rsidR="002862D1">
        <w:t xml:space="preserve"> (using</w:t>
      </w:r>
      <w:r w:rsidR="00E042E2">
        <w:t xml:space="preserve"> the questionnaire website, SurveyMonkey)</w:t>
      </w:r>
      <w:r w:rsidR="00E5653F">
        <w:t xml:space="preserve">. </w:t>
      </w:r>
      <w:r w:rsidR="00F06D53">
        <w:t xml:space="preserve">Potential participants were invited via RNIB networks. </w:t>
      </w:r>
      <w:r w:rsidR="002D7516">
        <w:t xml:space="preserve">A total of </w:t>
      </w:r>
      <w:r w:rsidR="00C9753E">
        <w:t>45</w:t>
      </w:r>
      <w:r w:rsidR="00E5653F">
        <w:t xml:space="preserve"> respondents </w:t>
      </w:r>
      <w:r w:rsidR="00F06D53">
        <w:t>expressed</w:t>
      </w:r>
      <w:r w:rsidR="00E5653F">
        <w:t xml:space="preserve"> their interest </w:t>
      </w:r>
      <w:r w:rsidR="0095499A">
        <w:t xml:space="preserve">to take part in </w:t>
      </w:r>
      <w:r w:rsidR="007F581C">
        <w:t>a</w:t>
      </w:r>
      <w:r w:rsidR="0095499A">
        <w:t xml:space="preserve"> telephone survey </w:t>
      </w:r>
      <w:r w:rsidR="00E5653F">
        <w:t xml:space="preserve">and were subsequently interviewed </w:t>
      </w:r>
      <w:r w:rsidR="00C15ECE">
        <w:t>between 23 May and 23 August 2016</w:t>
      </w:r>
      <w:r w:rsidR="00E5653F">
        <w:t>.</w:t>
      </w:r>
      <w:r w:rsidR="008825EF">
        <w:t xml:space="preserve"> An additional seve</w:t>
      </w:r>
      <w:r w:rsidR="007F581C">
        <w:t xml:space="preserve">n respondents completed the web-based </w:t>
      </w:r>
      <w:r w:rsidR="008825EF">
        <w:t>survey.</w:t>
      </w:r>
    </w:p>
    <w:p w:rsidR="00C15ECE" w:rsidRDefault="00C15ECE" w:rsidP="00D17146"/>
    <w:p w:rsidR="001352AC" w:rsidRPr="00745EB8" w:rsidRDefault="009C7E6C" w:rsidP="00D17146">
      <w:r>
        <w:t>2.</w:t>
      </w:r>
      <w:r w:rsidR="00E042E2">
        <w:t>2</w:t>
      </w:r>
      <w:r>
        <w:t xml:space="preserve"> </w:t>
      </w:r>
      <w:r w:rsidR="00C15ECE">
        <w:t>Respondents were</w:t>
      </w:r>
      <w:r w:rsidR="00EF0D98">
        <w:t xml:space="preserve"> not</w:t>
      </w:r>
      <w:r w:rsidR="00C15ECE">
        <w:t xml:space="preserve"> selected to be statistically representative of the general population of blind and partially sighted </w:t>
      </w:r>
      <w:r>
        <w:t>AA</w:t>
      </w:r>
      <w:r w:rsidR="00C15ECE">
        <w:t xml:space="preserve"> claimants</w:t>
      </w:r>
      <w:r w:rsidR="00EF0D98">
        <w:t>, but their evidence nevertheles</w:t>
      </w:r>
      <w:r w:rsidR="008D7A9D">
        <w:t>s provides instructive insights</w:t>
      </w:r>
      <w:r w:rsidR="00C15ECE">
        <w:t xml:space="preserve">. </w:t>
      </w:r>
    </w:p>
    <w:p w:rsidR="002862D1" w:rsidRDefault="002862D1">
      <w:r>
        <w:br w:type="page"/>
      </w:r>
    </w:p>
    <w:p w:rsidR="00745EB8" w:rsidRPr="0079346E" w:rsidRDefault="0079346E" w:rsidP="00D17146">
      <w:pPr>
        <w:pStyle w:val="Heading2"/>
        <w:rPr>
          <w:sz w:val="32"/>
          <w:szCs w:val="32"/>
        </w:rPr>
      </w:pPr>
      <w:r>
        <w:rPr>
          <w:sz w:val="32"/>
          <w:szCs w:val="32"/>
        </w:rPr>
        <w:lastRenderedPageBreak/>
        <w:t xml:space="preserve">3. </w:t>
      </w:r>
      <w:r w:rsidR="00745EB8" w:rsidRPr="0079346E">
        <w:rPr>
          <w:sz w:val="32"/>
          <w:szCs w:val="32"/>
        </w:rPr>
        <w:t xml:space="preserve">Characteristics of claimants in the survey </w:t>
      </w:r>
    </w:p>
    <w:p w:rsidR="00745EB8" w:rsidRDefault="000626B3" w:rsidP="00D17146">
      <w:r>
        <w:t xml:space="preserve">3.1 </w:t>
      </w:r>
      <w:r w:rsidR="00BA3D41">
        <w:t xml:space="preserve">A total of </w:t>
      </w:r>
      <w:r w:rsidR="00E75291">
        <w:t>52</w:t>
      </w:r>
      <w:r w:rsidR="001370F5">
        <w:t xml:space="preserve"> </w:t>
      </w:r>
      <w:r w:rsidR="00653E1D">
        <w:t>A</w:t>
      </w:r>
      <w:r w:rsidR="00BD36DD">
        <w:t>A</w:t>
      </w:r>
      <w:r w:rsidR="00BA3D41">
        <w:t xml:space="preserve"> claimants were surveyed</w:t>
      </w:r>
      <w:r w:rsidR="007B55F6">
        <w:t xml:space="preserve"> (of these</w:t>
      </w:r>
      <w:r w:rsidR="00510599">
        <w:t xml:space="preserve">, </w:t>
      </w:r>
      <w:r w:rsidR="00E75291">
        <w:t>six</w:t>
      </w:r>
      <w:r w:rsidR="00510599">
        <w:t xml:space="preserve"> were carers </w:t>
      </w:r>
      <w:r w:rsidR="0062057E">
        <w:t>a</w:t>
      </w:r>
      <w:r w:rsidR="00A85DFC">
        <w:t>nswering on behalf of a blind or</w:t>
      </w:r>
      <w:r w:rsidR="00510599">
        <w:t xml:space="preserve"> partially sighted person)</w:t>
      </w:r>
      <w:r w:rsidR="00BA3D41">
        <w:t xml:space="preserve">. </w:t>
      </w:r>
      <w:r w:rsidR="00745EB8">
        <w:t>In this section, we set out introductory information about our respondents.</w:t>
      </w:r>
    </w:p>
    <w:p w:rsidR="00745EB8" w:rsidRDefault="00745EB8" w:rsidP="00D17146"/>
    <w:p w:rsidR="00745EB8" w:rsidRDefault="000626B3" w:rsidP="00D17146">
      <w:r>
        <w:t xml:space="preserve">3.2 </w:t>
      </w:r>
      <w:r w:rsidR="00745EB8">
        <w:t>Please n</w:t>
      </w:r>
      <w:r>
        <w:t>ote that the percentages in these</w:t>
      </w:r>
      <w:r w:rsidR="00745EB8">
        <w:t xml:space="preserve"> table</w:t>
      </w:r>
      <w:r>
        <w:t>s</w:t>
      </w:r>
      <w:r w:rsidR="00745EB8">
        <w:t xml:space="preserve"> are rounded to the nearest whole per cent and may not total 100 per cent. </w:t>
      </w:r>
    </w:p>
    <w:p w:rsidR="002E79A7" w:rsidRDefault="002E79A7" w:rsidP="0079346E">
      <w:pPr>
        <w:rPr>
          <w:b/>
        </w:rPr>
      </w:pPr>
    </w:p>
    <w:p w:rsidR="00745EB8" w:rsidRPr="0079346E" w:rsidRDefault="00BA3D41" w:rsidP="0079346E">
      <w:pPr>
        <w:rPr>
          <w:b/>
        </w:rPr>
      </w:pPr>
      <w:r w:rsidRPr="0079346E">
        <w:rPr>
          <w:b/>
        </w:rPr>
        <w:t xml:space="preserve">Table 1: Gender </w:t>
      </w:r>
    </w:p>
    <w:p w:rsidR="00745EB8" w:rsidRDefault="00745EB8" w:rsidP="00D17146"/>
    <w:tbl>
      <w:tblPr>
        <w:tblStyle w:val="TableGrid"/>
        <w:tblW w:w="0" w:type="auto"/>
        <w:tblLook w:val="04A0"/>
      </w:tblPr>
      <w:tblGrid>
        <w:gridCol w:w="2840"/>
        <w:gridCol w:w="2841"/>
        <w:gridCol w:w="2841"/>
      </w:tblGrid>
      <w:tr w:rsidR="007B3248" w:rsidTr="007B3248">
        <w:tc>
          <w:tcPr>
            <w:tcW w:w="2840" w:type="dxa"/>
          </w:tcPr>
          <w:p w:rsidR="007B3248" w:rsidRDefault="007B3248" w:rsidP="00D17146"/>
        </w:tc>
        <w:tc>
          <w:tcPr>
            <w:tcW w:w="2841" w:type="dxa"/>
          </w:tcPr>
          <w:p w:rsidR="007B3248" w:rsidRDefault="007B3248" w:rsidP="00FE17AD">
            <w:r>
              <w:t>N</w:t>
            </w:r>
            <w:r w:rsidR="00D1781B">
              <w:t>umber of respondents (n=</w:t>
            </w:r>
            <w:r w:rsidR="00FE17AD">
              <w:t>52</w:t>
            </w:r>
            <w:r w:rsidR="00D1781B">
              <w:t>)</w:t>
            </w:r>
          </w:p>
        </w:tc>
        <w:tc>
          <w:tcPr>
            <w:tcW w:w="2841" w:type="dxa"/>
          </w:tcPr>
          <w:p w:rsidR="007B3248" w:rsidRDefault="00D1781B" w:rsidP="00D17146">
            <w:r>
              <w:t>Percentage of respondents</w:t>
            </w:r>
          </w:p>
        </w:tc>
      </w:tr>
      <w:tr w:rsidR="00BA3D41" w:rsidTr="007B3248">
        <w:tc>
          <w:tcPr>
            <w:tcW w:w="2840" w:type="dxa"/>
          </w:tcPr>
          <w:p w:rsidR="00BA3D41" w:rsidRDefault="00BA3D41" w:rsidP="00D17146">
            <w:r>
              <w:t>Male</w:t>
            </w:r>
          </w:p>
        </w:tc>
        <w:tc>
          <w:tcPr>
            <w:tcW w:w="2841" w:type="dxa"/>
          </w:tcPr>
          <w:p w:rsidR="00BA3D41" w:rsidRDefault="00FE17AD" w:rsidP="00FE17AD">
            <w:r>
              <w:t>24</w:t>
            </w:r>
            <w:r w:rsidR="0062057E">
              <w:t xml:space="preserve"> </w:t>
            </w:r>
          </w:p>
        </w:tc>
        <w:tc>
          <w:tcPr>
            <w:tcW w:w="2841" w:type="dxa"/>
          </w:tcPr>
          <w:p w:rsidR="00BA3D41" w:rsidRDefault="0062057E" w:rsidP="00D17146">
            <w:r>
              <w:t>4</w:t>
            </w:r>
            <w:r w:rsidR="00FE17AD">
              <w:t>6</w:t>
            </w:r>
          </w:p>
        </w:tc>
      </w:tr>
      <w:tr w:rsidR="00BA3D41" w:rsidTr="007B3248">
        <w:tc>
          <w:tcPr>
            <w:tcW w:w="2840" w:type="dxa"/>
          </w:tcPr>
          <w:p w:rsidR="00BA3D41" w:rsidRDefault="00BA3D41" w:rsidP="00D17146">
            <w:r>
              <w:t xml:space="preserve">Female </w:t>
            </w:r>
          </w:p>
        </w:tc>
        <w:tc>
          <w:tcPr>
            <w:tcW w:w="2841" w:type="dxa"/>
          </w:tcPr>
          <w:p w:rsidR="00BA3D41" w:rsidRDefault="0062057E" w:rsidP="00D17146">
            <w:r>
              <w:t>2</w:t>
            </w:r>
            <w:r w:rsidR="00FE17AD">
              <w:t>8</w:t>
            </w:r>
          </w:p>
        </w:tc>
        <w:tc>
          <w:tcPr>
            <w:tcW w:w="2841" w:type="dxa"/>
          </w:tcPr>
          <w:p w:rsidR="00BA3D41" w:rsidRDefault="008770CF" w:rsidP="00D17146">
            <w:r>
              <w:t>5</w:t>
            </w:r>
            <w:r w:rsidR="00FE17AD">
              <w:t>4</w:t>
            </w:r>
          </w:p>
        </w:tc>
      </w:tr>
    </w:tbl>
    <w:p w:rsidR="00E7750D" w:rsidRDefault="00E7750D" w:rsidP="00D17146"/>
    <w:p w:rsidR="00745EB8" w:rsidRDefault="00E7750D" w:rsidP="00D17146">
      <w:r w:rsidRPr="0062057E">
        <w:t>The ge</w:t>
      </w:r>
      <w:r>
        <w:t>nder split of respondents was roughly equal.</w:t>
      </w:r>
    </w:p>
    <w:p w:rsidR="002075D2" w:rsidRDefault="002075D2" w:rsidP="0079346E">
      <w:pPr>
        <w:rPr>
          <w:b/>
        </w:rPr>
      </w:pPr>
    </w:p>
    <w:p w:rsidR="00BA3D41" w:rsidRPr="0079346E" w:rsidRDefault="00BA3D41" w:rsidP="0079346E">
      <w:pPr>
        <w:rPr>
          <w:b/>
        </w:rPr>
      </w:pPr>
      <w:r w:rsidRPr="0079346E">
        <w:rPr>
          <w:b/>
        </w:rPr>
        <w:t xml:space="preserve">Table 2: Age </w:t>
      </w:r>
    </w:p>
    <w:p w:rsidR="00BA3D41" w:rsidRDefault="00BA3D41" w:rsidP="00D17146"/>
    <w:tbl>
      <w:tblPr>
        <w:tblStyle w:val="TableGrid"/>
        <w:tblW w:w="0" w:type="auto"/>
        <w:tblLook w:val="04A0"/>
      </w:tblPr>
      <w:tblGrid>
        <w:gridCol w:w="2840"/>
        <w:gridCol w:w="2841"/>
        <w:gridCol w:w="2841"/>
      </w:tblGrid>
      <w:tr w:rsidR="00D1781B" w:rsidTr="00D1781B">
        <w:tc>
          <w:tcPr>
            <w:tcW w:w="2840" w:type="dxa"/>
          </w:tcPr>
          <w:p w:rsidR="00D1781B" w:rsidRDefault="00D1781B" w:rsidP="00D17146"/>
        </w:tc>
        <w:tc>
          <w:tcPr>
            <w:tcW w:w="2841" w:type="dxa"/>
          </w:tcPr>
          <w:p w:rsidR="00D1781B" w:rsidRDefault="00D1781B" w:rsidP="00091151">
            <w:r>
              <w:t>Number of respondents (n=</w:t>
            </w:r>
            <w:r w:rsidR="00091151">
              <w:t>52</w:t>
            </w:r>
            <w:r>
              <w:t>)</w:t>
            </w:r>
          </w:p>
        </w:tc>
        <w:tc>
          <w:tcPr>
            <w:tcW w:w="2841" w:type="dxa"/>
          </w:tcPr>
          <w:p w:rsidR="00D1781B" w:rsidRDefault="00D1781B" w:rsidP="00D17146">
            <w:r>
              <w:t>Percentage of respondents</w:t>
            </w:r>
          </w:p>
        </w:tc>
      </w:tr>
      <w:tr w:rsidR="00C669E3" w:rsidTr="00D1781B">
        <w:tc>
          <w:tcPr>
            <w:tcW w:w="2840" w:type="dxa"/>
          </w:tcPr>
          <w:p w:rsidR="00C669E3" w:rsidRPr="00E53106" w:rsidRDefault="00C669E3" w:rsidP="00D17146">
            <w:r w:rsidRPr="00E53106">
              <w:t>65-69</w:t>
            </w:r>
          </w:p>
        </w:tc>
        <w:tc>
          <w:tcPr>
            <w:tcW w:w="2841" w:type="dxa"/>
          </w:tcPr>
          <w:p w:rsidR="00C669E3" w:rsidRPr="00E53106" w:rsidRDefault="00C669E3" w:rsidP="00D17146">
            <w:r w:rsidRPr="00E53106">
              <w:t>1</w:t>
            </w:r>
          </w:p>
        </w:tc>
        <w:tc>
          <w:tcPr>
            <w:tcW w:w="2841" w:type="dxa"/>
          </w:tcPr>
          <w:p w:rsidR="00C669E3" w:rsidRPr="00DD5AE1" w:rsidRDefault="00C669E3" w:rsidP="000B4104">
            <w:r>
              <w:t>2</w:t>
            </w:r>
          </w:p>
        </w:tc>
      </w:tr>
      <w:tr w:rsidR="00C669E3" w:rsidTr="00D1781B">
        <w:tc>
          <w:tcPr>
            <w:tcW w:w="2840" w:type="dxa"/>
          </w:tcPr>
          <w:p w:rsidR="00C669E3" w:rsidRPr="00E53106" w:rsidRDefault="00C669E3" w:rsidP="00D17146">
            <w:r w:rsidRPr="00E53106">
              <w:t xml:space="preserve">70s </w:t>
            </w:r>
          </w:p>
        </w:tc>
        <w:tc>
          <w:tcPr>
            <w:tcW w:w="2841" w:type="dxa"/>
          </w:tcPr>
          <w:p w:rsidR="00C669E3" w:rsidRPr="00E53106" w:rsidRDefault="00C669E3" w:rsidP="00D17146">
            <w:r w:rsidRPr="00E53106">
              <w:t>1</w:t>
            </w:r>
            <w:r>
              <w:t>4</w:t>
            </w:r>
          </w:p>
        </w:tc>
        <w:tc>
          <w:tcPr>
            <w:tcW w:w="2841" w:type="dxa"/>
          </w:tcPr>
          <w:p w:rsidR="00C669E3" w:rsidRPr="00DD5AE1" w:rsidRDefault="00C669E3" w:rsidP="000B4104">
            <w:r>
              <w:t>27</w:t>
            </w:r>
          </w:p>
        </w:tc>
      </w:tr>
      <w:tr w:rsidR="00C669E3" w:rsidTr="00D1781B">
        <w:tc>
          <w:tcPr>
            <w:tcW w:w="2840" w:type="dxa"/>
          </w:tcPr>
          <w:p w:rsidR="00C669E3" w:rsidRPr="00E53106" w:rsidRDefault="00C669E3" w:rsidP="00D17146">
            <w:r w:rsidRPr="00E53106">
              <w:t>80s</w:t>
            </w:r>
          </w:p>
        </w:tc>
        <w:tc>
          <w:tcPr>
            <w:tcW w:w="2841" w:type="dxa"/>
          </w:tcPr>
          <w:p w:rsidR="00C669E3" w:rsidRPr="00E53106" w:rsidRDefault="00C669E3" w:rsidP="00D17146">
            <w:r>
              <w:t>30</w:t>
            </w:r>
          </w:p>
        </w:tc>
        <w:tc>
          <w:tcPr>
            <w:tcW w:w="2841" w:type="dxa"/>
          </w:tcPr>
          <w:p w:rsidR="00C669E3" w:rsidRPr="00DD5AE1" w:rsidRDefault="00C669E3" w:rsidP="000B4104">
            <w:r>
              <w:t>58</w:t>
            </w:r>
          </w:p>
        </w:tc>
      </w:tr>
      <w:tr w:rsidR="00C669E3" w:rsidTr="00D1781B">
        <w:tc>
          <w:tcPr>
            <w:tcW w:w="2840" w:type="dxa"/>
          </w:tcPr>
          <w:p w:rsidR="00C669E3" w:rsidRPr="00E53106" w:rsidRDefault="00C669E3" w:rsidP="00D17146">
            <w:r w:rsidRPr="00E53106">
              <w:t>90s</w:t>
            </w:r>
          </w:p>
        </w:tc>
        <w:tc>
          <w:tcPr>
            <w:tcW w:w="2841" w:type="dxa"/>
          </w:tcPr>
          <w:p w:rsidR="00C669E3" w:rsidRPr="00E53106" w:rsidRDefault="00C669E3" w:rsidP="00D17146">
            <w:r>
              <w:t>7</w:t>
            </w:r>
          </w:p>
        </w:tc>
        <w:tc>
          <w:tcPr>
            <w:tcW w:w="2841" w:type="dxa"/>
          </w:tcPr>
          <w:p w:rsidR="00C669E3" w:rsidRDefault="00C669E3" w:rsidP="000B4104">
            <w:r>
              <w:t>13</w:t>
            </w:r>
          </w:p>
        </w:tc>
      </w:tr>
    </w:tbl>
    <w:p w:rsidR="00BA3D41" w:rsidRDefault="00BA3D41" w:rsidP="00D17146"/>
    <w:p w:rsidR="0062057E" w:rsidRDefault="0062057E" w:rsidP="00D17146">
      <w:r>
        <w:t xml:space="preserve">The majority of respondents were in their 80s, and </w:t>
      </w:r>
      <w:r w:rsidR="00091151">
        <w:t xml:space="preserve">just </w:t>
      </w:r>
      <w:r>
        <w:t>over a quarter of respondents were in their seventies.</w:t>
      </w:r>
    </w:p>
    <w:p w:rsidR="0062057E" w:rsidRDefault="0062057E" w:rsidP="00D17146">
      <w:pPr>
        <w:rPr>
          <w:b/>
        </w:rPr>
      </w:pPr>
    </w:p>
    <w:p w:rsidR="00BA3D41" w:rsidRPr="0079346E" w:rsidRDefault="00BA3D41" w:rsidP="0079346E">
      <w:pPr>
        <w:rPr>
          <w:b/>
        </w:rPr>
      </w:pPr>
      <w:r w:rsidRPr="0079346E">
        <w:rPr>
          <w:b/>
        </w:rPr>
        <w:t xml:space="preserve">Table 3: Location </w:t>
      </w:r>
    </w:p>
    <w:p w:rsidR="00BA3D41" w:rsidRDefault="00BA3D41" w:rsidP="00D17146"/>
    <w:tbl>
      <w:tblPr>
        <w:tblStyle w:val="TableGrid"/>
        <w:tblW w:w="0" w:type="auto"/>
        <w:tblLook w:val="04A0"/>
      </w:tblPr>
      <w:tblGrid>
        <w:gridCol w:w="2802"/>
        <w:gridCol w:w="2879"/>
        <w:gridCol w:w="2841"/>
      </w:tblGrid>
      <w:tr w:rsidR="00D1781B" w:rsidTr="00D17146">
        <w:tc>
          <w:tcPr>
            <w:tcW w:w="2802" w:type="dxa"/>
          </w:tcPr>
          <w:p w:rsidR="00D1781B" w:rsidRPr="005F302F" w:rsidRDefault="00D1781B" w:rsidP="00D17146"/>
        </w:tc>
        <w:tc>
          <w:tcPr>
            <w:tcW w:w="2879" w:type="dxa"/>
          </w:tcPr>
          <w:p w:rsidR="00D1781B" w:rsidRDefault="00D1781B" w:rsidP="00091151">
            <w:r>
              <w:t>Number of respondents (n=</w:t>
            </w:r>
            <w:r w:rsidR="00091151">
              <w:t>52</w:t>
            </w:r>
            <w:r>
              <w:t>)</w:t>
            </w:r>
          </w:p>
        </w:tc>
        <w:tc>
          <w:tcPr>
            <w:tcW w:w="2841" w:type="dxa"/>
          </w:tcPr>
          <w:p w:rsidR="00D1781B" w:rsidRDefault="00D1781B" w:rsidP="00D17146">
            <w:r>
              <w:t>Percentage of respondents</w:t>
            </w:r>
          </w:p>
        </w:tc>
      </w:tr>
      <w:tr w:rsidR="00091151" w:rsidTr="00D17146">
        <w:tc>
          <w:tcPr>
            <w:tcW w:w="2802" w:type="dxa"/>
          </w:tcPr>
          <w:p w:rsidR="00091151" w:rsidRPr="00D35CA2" w:rsidRDefault="00091151" w:rsidP="000B4104">
            <w:r w:rsidRPr="00D35CA2">
              <w:t>South East</w:t>
            </w:r>
          </w:p>
        </w:tc>
        <w:tc>
          <w:tcPr>
            <w:tcW w:w="2879" w:type="dxa"/>
          </w:tcPr>
          <w:p w:rsidR="00091151" w:rsidRPr="00D83278" w:rsidRDefault="00091151" w:rsidP="000B4104">
            <w:r>
              <w:t>1</w:t>
            </w:r>
            <w:r w:rsidRPr="00D83278">
              <w:t>5</w:t>
            </w:r>
          </w:p>
        </w:tc>
        <w:tc>
          <w:tcPr>
            <w:tcW w:w="2841" w:type="dxa"/>
          </w:tcPr>
          <w:p w:rsidR="00091151" w:rsidRPr="00F41C5C" w:rsidRDefault="00091151" w:rsidP="000B4104">
            <w:r>
              <w:t>29</w:t>
            </w:r>
          </w:p>
        </w:tc>
      </w:tr>
      <w:tr w:rsidR="00091151" w:rsidTr="00D17146">
        <w:tc>
          <w:tcPr>
            <w:tcW w:w="2802" w:type="dxa"/>
          </w:tcPr>
          <w:p w:rsidR="00091151" w:rsidRPr="00D35CA2" w:rsidRDefault="00091151" w:rsidP="000B4104">
            <w:r w:rsidRPr="00D35CA2">
              <w:t>West Midlands</w:t>
            </w:r>
          </w:p>
        </w:tc>
        <w:tc>
          <w:tcPr>
            <w:tcW w:w="2879" w:type="dxa"/>
          </w:tcPr>
          <w:p w:rsidR="00091151" w:rsidRPr="00D83278" w:rsidRDefault="00091151" w:rsidP="000B4104">
            <w:r w:rsidRPr="00D83278">
              <w:t>9</w:t>
            </w:r>
          </w:p>
        </w:tc>
        <w:tc>
          <w:tcPr>
            <w:tcW w:w="2841" w:type="dxa"/>
          </w:tcPr>
          <w:p w:rsidR="00091151" w:rsidRPr="00F41C5C" w:rsidRDefault="00091151" w:rsidP="00091151">
            <w:r w:rsidRPr="00F41C5C">
              <w:t>17</w:t>
            </w:r>
          </w:p>
        </w:tc>
      </w:tr>
      <w:tr w:rsidR="00091151" w:rsidTr="00D17146">
        <w:tc>
          <w:tcPr>
            <w:tcW w:w="2802" w:type="dxa"/>
          </w:tcPr>
          <w:p w:rsidR="00091151" w:rsidRPr="00D35CA2" w:rsidRDefault="00091151" w:rsidP="000B4104">
            <w:r w:rsidRPr="00D35CA2">
              <w:t>London</w:t>
            </w:r>
          </w:p>
        </w:tc>
        <w:tc>
          <w:tcPr>
            <w:tcW w:w="2879" w:type="dxa"/>
          </w:tcPr>
          <w:p w:rsidR="00091151" w:rsidRPr="00D83278" w:rsidRDefault="00091151" w:rsidP="000B4104">
            <w:r w:rsidRPr="00D83278">
              <w:t>8</w:t>
            </w:r>
          </w:p>
        </w:tc>
        <w:tc>
          <w:tcPr>
            <w:tcW w:w="2841" w:type="dxa"/>
          </w:tcPr>
          <w:p w:rsidR="00091151" w:rsidRPr="00F41C5C" w:rsidRDefault="00091151" w:rsidP="000B4104">
            <w:r>
              <w:t>15</w:t>
            </w:r>
          </w:p>
        </w:tc>
      </w:tr>
      <w:tr w:rsidR="00091151" w:rsidTr="00D17146">
        <w:tc>
          <w:tcPr>
            <w:tcW w:w="2802" w:type="dxa"/>
          </w:tcPr>
          <w:p w:rsidR="00091151" w:rsidRPr="00D35CA2" w:rsidRDefault="00091151" w:rsidP="000B4104">
            <w:r w:rsidRPr="00D35CA2">
              <w:t>Yorkshire and the Humber</w:t>
            </w:r>
          </w:p>
        </w:tc>
        <w:tc>
          <w:tcPr>
            <w:tcW w:w="2879" w:type="dxa"/>
          </w:tcPr>
          <w:p w:rsidR="00091151" w:rsidRPr="00D83278" w:rsidRDefault="00091151" w:rsidP="000B4104">
            <w:r w:rsidRPr="00D83278">
              <w:t>5</w:t>
            </w:r>
          </w:p>
        </w:tc>
        <w:tc>
          <w:tcPr>
            <w:tcW w:w="2841" w:type="dxa"/>
          </w:tcPr>
          <w:p w:rsidR="00091151" w:rsidRPr="00F41C5C" w:rsidRDefault="00091151" w:rsidP="000B4104">
            <w:r>
              <w:t>10</w:t>
            </w:r>
          </w:p>
        </w:tc>
      </w:tr>
      <w:tr w:rsidR="00091151" w:rsidTr="00D17146">
        <w:tc>
          <w:tcPr>
            <w:tcW w:w="2802" w:type="dxa"/>
          </w:tcPr>
          <w:p w:rsidR="00091151" w:rsidRPr="00D35CA2" w:rsidRDefault="00091151" w:rsidP="000B4104">
            <w:r w:rsidRPr="00D35CA2">
              <w:t>South West</w:t>
            </w:r>
          </w:p>
        </w:tc>
        <w:tc>
          <w:tcPr>
            <w:tcW w:w="2879" w:type="dxa"/>
          </w:tcPr>
          <w:p w:rsidR="00091151" w:rsidRPr="00D83278" w:rsidRDefault="00091151" w:rsidP="000B4104">
            <w:r w:rsidRPr="00D83278">
              <w:t>4</w:t>
            </w:r>
          </w:p>
        </w:tc>
        <w:tc>
          <w:tcPr>
            <w:tcW w:w="2841" w:type="dxa"/>
          </w:tcPr>
          <w:p w:rsidR="00091151" w:rsidRPr="00F41C5C" w:rsidRDefault="00091151" w:rsidP="000B4104">
            <w:r>
              <w:t>8</w:t>
            </w:r>
          </w:p>
        </w:tc>
      </w:tr>
      <w:tr w:rsidR="00091151" w:rsidTr="00D17146">
        <w:tc>
          <w:tcPr>
            <w:tcW w:w="2802" w:type="dxa"/>
          </w:tcPr>
          <w:p w:rsidR="00091151" w:rsidRDefault="00091151" w:rsidP="000B4104">
            <w:r w:rsidRPr="00D35CA2">
              <w:t>North East</w:t>
            </w:r>
          </w:p>
        </w:tc>
        <w:tc>
          <w:tcPr>
            <w:tcW w:w="2879" w:type="dxa"/>
          </w:tcPr>
          <w:p w:rsidR="00091151" w:rsidRDefault="00091151" w:rsidP="000B4104">
            <w:r w:rsidRPr="00D83278">
              <w:t>4</w:t>
            </w:r>
          </w:p>
        </w:tc>
        <w:tc>
          <w:tcPr>
            <w:tcW w:w="2841" w:type="dxa"/>
          </w:tcPr>
          <w:p w:rsidR="00091151" w:rsidRDefault="00091151" w:rsidP="00091151">
            <w:r>
              <w:t>8</w:t>
            </w:r>
          </w:p>
        </w:tc>
      </w:tr>
      <w:tr w:rsidR="00091151" w:rsidTr="00D17146">
        <w:tc>
          <w:tcPr>
            <w:tcW w:w="2802" w:type="dxa"/>
          </w:tcPr>
          <w:p w:rsidR="00091151" w:rsidRPr="00D35CA2" w:rsidRDefault="00091151" w:rsidP="000B4104">
            <w:r w:rsidRPr="00D35CA2">
              <w:t>East of England</w:t>
            </w:r>
          </w:p>
        </w:tc>
        <w:tc>
          <w:tcPr>
            <w:tcW w:w="2879" w:type="dxa"/>
          </w:tcPr>
          <w:p w:rsidR="00091151" w:rsidRPr="00D83278" w:rsidRDefault="00091151" w:rsidP="000B4104">
            <w:r w:rsidRPr="00D83278">
              <w:t>4</w:t>
            </w:r>
          </w:p>
        </w:tc>
        <w:tc>
          <w:tcPr>
            <w:tcW w:w="2841" w:type="dxa"/>
          </w:tcPr>
          <w:p w:rsidR="00091151" w:rsidRPr="00F41C5C" w:rsidRDefault="00091151" w:rsidP="000B4104">
            <w:r>
              <w:t>7</w:t>
            </w:r>
          </w:p>
        </w:tc>
      </w:tr>
      <w:tr w:rsidR="00091151" w:rsidTr="00D17146">
        <w:tc>
          <w:tcPr>
            <w:tcW w:w="2802" w:type="dxa"/>
          </w:tcPr>
          <w:p w:rsidR="00091151" w:rsidRPr="00D35CA2" w:rsidRDefault="00091151" w:rsidP="000B4104">
            <w:r w:rsidRPr="00D35CA2">
              <w:lastRenderedPageBreak/>
              <w:t>North West</w:t>
            </w:r>
          </w:p>
        </w:tc>
        <w:tc>
          <w:tcPr>
            <w:tcW w:w="2879" w:type="dxa"/>
          </w:tcPr>
          <w:p w:rsidR="00091151" w:rsidRPr="00D83278" w:rsidRDefault="00091151" w:rsidP="000B4104">
            <w:r w:rsidRPr="00D83278">
              <w:t>2</w:t>
            </w:r>
          </w:p>
        </w:tc>
        <w:tc>
          <w:tcPr>
            <w:tcW w:w="2841" w:type="dxa"/>
          </w:tcPr>
          <w:p w:rsidR="00091151" w:rsidRPr="00F41C5C" w:rsidRDefault="00091151" w:rsidP="000B4104">
            <w:r>
              <w:t>4</w:t>
            </w:r>
          </w:p>
        </w:tc>
      </w:tr>
      <w:tr w:rsidR="00091151" w:rsidTr="00D17146">
        <w:tc>
          <w:tcPr>
            <w:tcW w:w="2802" w:type="dxa"/>
          </w:tcPr>
          <w:p w:rsidR="00091151" w:rsidRPr="00D35CA2" w:rsidRDefault="00091151" w:rsidP="00091151">
            <w:r w:rsidRPr="00D35CA2">
              <w:t>East Midlands</w:t>
            </w:r>
          </w:p>
        </w:tc>
        <w:tc>
          <w:tcPr>
            <w:tcW w:w="2879" w:type="dxa"/>
          </w:tcPr>
          <w:p w:rsidR="00091151" w:rsidRPr="00D83278" w:rsidRDefault="00091151" w:rsidP="000B4104">
            <w:r w:rsidRPr="00D83278">
              <w:t>1</w:t>
            </w:r>
          </w:p>
        </w:tc>
        <w:tc>
          <w:tcPr>
            <w:tcW w:w="2841" w:type="dxa"/>
          </w:tcPr>
          <w:p w:rsidR="00091151" w:rsidRPr="00F41C5C" w:rsidRDefault="00091151" w:rsidP="000B4104">
            <w:r>
              <w:t>2</w:t>
            </w:r>
          </w:p>
        </w:tc>
      </w:tr>
    </w:tbl>
    <w:p w:rsidR="005F302F" w:rsidRDefault="005F302F" w:rsidP="00D17146"/>
    <w:p w:rsidR="00E7750D" w:rsidRPr="00E7750D" w:rsidRDefault="00E7750D" w:rsidP="00D17146">
      <w:r w:rsidRPr="00E7750D">
        <w:t>All</w:t>
      </w:r>
      <w:r>
        <w:t xml:space="preserve"> respondents lived in England and were spread across the c</w:t>
      </w:r>
      <w:r w:rsidR="00091151">
        <w:t xml:space="preserve">ountry. However, the South East, </w:t>
      </w:r>
      <w:r>
        <w:t xml:space="preserve">West Midlands </w:t>
      </w:r>
      <w:r w:rsidR="00091151">
        <w:t xml:space="preserve">and London </w:t>
      </w:r>
      <w:r>
        <w:t xml:space="preserve">were more heavily represented, with just over half of respondents </w:t>
      </w:r>
      <w:r w:rsidR="00D07E35">
        <w:t xml:space="preserve">living in </w:t>
      </w:r>
      <w:r>
        <w:t>these areas.</w:t>
      </w:r>
    </w:p>
    <w:p w:rsidR="00E7750D" w:rsidRDefault="00E7750D" w:rsidP="00D17146">
      <w:pPr>
        <w:rPr>
          <w:b/>
        </w:rPr>
      </w:pPr>
    </w:p>
    <w:p w:rsidR="00510599" w:rsidRPr="0079346E" w:rsidRDefault="00510599" w:rsidP="0079346E">
      <w:pPr>
        <w:rPr>
          <w:b/>
        </w:rPr>
      </w:pPr>
      <w:r w:rsidRPr="0079346E">
        <w:rPr>
          <w:b/>
        </w:rPr>
        <w:t xml:space="preserve">Table </w:t>
      </w:r>
      <w:r w:rsidR="00FB62F1" w:rsidRPr="0079346E">
        <w:rPr>
          <w:b/>
        </w:rPr>
        <w:t>4</w:t>
      </w:r>
      <w:r w:rsidRPr="0079346E">
        <w:rPr>
          <w:b/>
        </w:rPr>
        <w:t>: Living situation</w:t>
      </w:r>
      <w:r w:rsidR="00AC643E" w:rsidRPr="0079346E">
        <w:rPr>
          <w:b/>
        </w:rPr>
        <w:t xml:space="preserve"> </w:t>
      </w:r>
    </w:p>
    <w:p w:rsidR="00510599" w:rsidRDefault="00510599" w:rsidP="00D17146"/>
    <w:tbl>
      <w:tblPr>
        <w:tblStyle w:val="TableGrid"/>
        <w:tblW w:w="0" w:type="auto"/>
        <w:tblLook w:val="04A0"/>
      </w:tblPr>
      <w:tblGrid>
        <w:gridCol w:w="3794"/>
        <w:gridCol w:w="1892"/>
        <w:gridCol w:w="2836"/>
      </w:tblGrid>
      <w:tr w:rsidR="00D1781B" w:rsidTr="00EA6832">
        <w:tc>
          <w:tcPr>
            <w:tcW w:w="3794" w:type="dxa"/>
          </w:tcPr>
          <w:p w:rsidR="00D1781B" w:rsidRPr="005F302F" w:rsidRDefault="00D1781B" w:rsidP="00D17146"/>
        </w:tc>
        <w:tc>
          <w:tcPr>
            <w:tcW w:w="1892" w:type="dxa"/>
          </w:tcPr>
          <w:p w:rsidR="00D1781B" w:rsidRDefault="00D1781B" w:rsidP="00D07E35">
            <w:r>
              <w:t>Number of respondents</w:t>
            </w:r>
            <w:r w:rsidR="00D07E35">
              <w:t xml:space="preserve"> (n=52</w:t>
            </w:r>
            <w:r>
              <w:t>)</w:t>
            </w:r>
          </w:p>
        </w:tc>
        <w:tc>
          <w:tcPr>
            <w:tcW w:w="2836" w:type="dxa"/>
          </w:tcPr>
          <w:p w:rsidR="00D1781B" w:rsidRDefault="00D1781B" w:rsidP="00D17146">
            <w:r>
              <w:t>Percentage of respondents</w:t>
            </w:r>
          </w:p>
        </w:tc>
      </w:tr>
      <w:tr w:rsidR="00240F36" w:rsidTr="00EA6832">
        <w:tc>
          <w:tcPr>
            <w:tcW w:w="3794" w:type="dxa"/>
          </w:tcPr>
          <w:p w:rsidR="00240F36" w:rsidRDefault="00240F36" w:rsidP="00D17146">
            <w:r>
              <w:t xml:space="preserve">With a partner/spouse </w:t>
            </w:r>
          </w:p>
        </w:tc>
        <w:tc>
          <w:tcPr>
            <w:tcW w:w="1892" w:type="dxa"/>
          </w:tcPr>
          <w:p w:rsidR="00240F36" w:rsidRDefault="00D07E35" w:rsidP="00D17146">
            <w:r>
              <w:t>24</w:t>
            </w:r>
          </w:p>
        </w:tc>
        <w:tc>
          <w:tcPr>
            <w:tcW w:w="2836" w:type="dxa"/>
          </w:tcPr>
          <w:p w:rsidR="00240F36" w:rsidRDefault="00240F36" w:rsidP="00D17146">
            <w:r>
              <w:t>4</w:t>
            </w:r>
            <w:r w:rsidR="00D07E35">
              <w:t>6</w:t>
            </w:r>
          </w:p>
        </w:tc>
      </w:tr>
      <w:tr w:rsidR="00240F36" w:rsidTr="00EA6832">
        <w:tc>
          <w:tcPr>
            <w:tcW w:w="3794" w:type="dxa"/>
          </w:tcPr>
          <w:p w:rsidR="00240F36" w:rsidRDefault="00240F36" w:rsidP="00D17146">
            <w:r>
              <w:t>Alone</w:t>
            </w:r>
          </w:p>
        </w:tc>
        <w:tc>
          <w:tcPr>
            <w:tcW w:w="1892" w:type="dxa"/>
          </w:tcPr>
          <w:p w:rsidR="00240F36" w:rsidRDefault="00D07E35" w:rsidP="00D17146">
            <w:r>
              <w:t>23</w:t>
            </w:r>
          </w:p>
        </w:tc>
        <w:tc>
          <w:tcPr>
            <w:tcW w:w="2836" w:type="dxa"/>
          </w:tcPr>
          <w:p w:rsidR="00240F36" w:rsidRDefault="00240F36" w:rsidP="00D17146">
            <w:r>
              <w:t>4</w:t>
            </w:r>
            <w:r w:rsidR="00D07E35">
              <w:t>4</w:t>
            </w:r>
          </w:p>
        </w:tc>
      </w:tr>
      <w:tr w:rsidR="00240F36" w:rsidTr="00EA6832">
        <w:tc>
          <w:tcPr>
            <w:tcW w:w="3794" w:type="dxa"/>
          </w:tcPr>
          <w:p w:rsidR="00240F36" w:rsidRDefault="00240F36" w:rsidP="00D17146">
            <w:r>
              <w:t>W</w:t>
            </w:r>
            <w:r w:rsidRPr="00510599">
              <w:t>ith adult child/children</w:t>
            </w:r>
          </w:p>
        </w:tc>
        <w:tc>
          <w:tcPr>
            <w:tcW w:w="1892" w:type="dxa"/>
          </w:tcPr>
          <w:p w:rsidR="00240F36" w:rsidRDefault="00D07E35" w:rsidP="00D17146">
            <w:r>
              <w:t>5</w:t>
            </w:r>
          </w:p>
        </w:tc>
        <w:tc>
          <w:tcPr>
            <w:tcW w:w="2836" w:type="dxa"/>
          </w:tcPr>
          <w:p w:rsidR="00240F36" w:rsidRDefault="00D07E35" w:rsidP="00D17146">
            <w:r>
              <w:t>10</w:t>
            </w:r>
          </w:p>
        </w:tc>
      </w:tr>
    </w:tbl>
    <w:p w:rsidR="00FB62F1" w:rsidRDefault="00FB62F1" w:rsidP="00D17146"/>
    <w:p w:rsidR="00E7750D" w:rsidRDefault="00E7750D" w:rsidP="00D17146">
      <w:r>
        <w:t xml:space="preserve">About half of respondents lived with a partner or spouse, and nearly as many lived alone. </w:t>
      </w:r>
    </w:p>
    <w:p w:rsidR="00E7750D" w:rsidRDefault="00E7750D" w:rsidP="00D17146"/>
    <w:p w:rsidR="00FB62F1" w:rsidRPr="0079346E" w:rsidRDefault="00FB62F1" w:rsidP="0079346E">
      <w:pPr>
        <w:rPr>
          <w:b/>
        </w:rPr>
      </w:pPr>
      <w:r w:rsidRPr="0079346E">
        <w:rPr>
          <w:b/>
        </w:rPr>
        <w:t xml:space="preserve">Table 5: Rate of </w:t>
      </w:r>
      <w:r w:rsidR="00653E1D" w:rsidRPr="0079346E">
        <w:rPr>
          <w:b/>
        </w:rPr>
        <w:t>A</w:t>
      </w:r>
      <w:r w:rsidR="00BD36DD" w:rsidRPr="0079346E">
        <w:rPr>
          <w:b/>
        </w:rPr>
        <w:t>A</w:t>
      </w:r>
      <w:r w:rsidRPr="0079346E">
        <w:rPr>
          <w:b/>
        </w:rPr>
        <w:t xml:space="preserve"> currently received</w:t>
      </w:r>
      <w:r w:rsidR="00AC643E" w:rsidRPr="0079346E">
        <w:rPr>
          <w:b/>
        </w:rPr>
        <w:t xml:space="preserve"> </w:t>
      </w:r>
    </w:p>
    <w:p w:rsidR="00FB62F1" w:rsidRDefault="00FB62F1" w:rsidP="00D17146"/>
    <w:tbl>
      <w:tblPr>
        <w:tblStyle w:val="TableGrid"/>
        <w:tblW w:w="0" w:type="auto"/>
        <w:tblLook w:val="04A0"/>
      </w:tblPr>
      <w:tblGrid>
        <w:gridCol w:w="2840"/>
        <w:gridCol w:w="2841"/>
        <w:gridCol w:w="2841"/>
      </w:tblGrid>
      <w:tr w:rsidR="00375231" w:rsidTr="00292F5D">
        <w:trPr>
          <w:trHeight w:val="537"/>
        </w:trPr>
        <w:tc>
          <w:tcPr>
            <w:tcW w:w="2840" w:type="dxa"/>
          </w:tcPr>
          <w:p w:rsidR="00375231" w:rsidRPr="00B902A7" w:rsidRDefault="00375231" w:rsidP="00D17146"/>
        </w:tc>
        <w:tc>
          <w:tcPr>
            <w:tcW w:w="2841" w:type="dxa"/>
          </w:tcPr>
          <w:p w:rsidR="00375231" w:rsidRPr="00B902A7" w:rsidRDefault="00375231" w:rsidP="00292F5D">
            <w:r w:rsidRPr="00B902A7">
              <w:t>Number of respondents (n=</w:t>
            </w:r>
            <w:r w:rsidR="00292F5D" w:rsidRPr="00B902A7">
              <w:t>52</w:t>
            </w:r>
            <w:r w:rsidRPr="00B902A7">
              <w:t>)</w:t>
            </w:r>
          </w:p>
        </w:tc>
        <w:tc>
          <w:tcPr>
            <w:tcW w:w="2841" w:type="dxa"/>
          </w:tcPr>
          <w:p w:rsidR="00375231" w:rsidRPr="00B902A7" w:rsidRDefault="00375231" w:rsidP="00D17146">
            <w:r w:rsidRPr="00B902A7">
              <w:t>Percentage of respondents</w:t>
            </w:r>
          </w:p>
        </w:tc>
      </w:tr>
      <w:tr w:rsidR="00FB62F1" w:rsidTr="00D1781B">
        <w:tc>
          <w:tcPr>
            <w:tcW w:w="2840" w:type="dxa"/>
          </w:tcPr>
          <w:p w:rsidR="00FB62F1" w:rsidRPr="00B902A7" w:rsidRDefault="00FB62F1" w:rsidP="00D17146">
            <w:r w:rsidRPr="00B902A7">
              <w:t xml:space="preserve">Lower </w:t>
            </w:r>
            <w:r w:rsidR="00653E1D" w:rsidRPr="00B902A7">
              <w:t>A</w:t>
            </w:r>
            <w:r w:rsidR="00BD36DD" w:rsidRPr="00B902A7">
              <w:t>A</w:t>
            </w:r>
          </w:p>
        </w:tc>
        <w:tc>
          <w:tcPr>
            <w:tcW w:w="2841" w:type="dxa"/>
          </w:tcPr>
          <w:p w:rsidR="00FB62F1" w:rsidRPr="00B902A7" w:rsidRDefault="00B902A7" w:rsidP="00D17146">
            <w:r w:rsidRPr="00B902A7">
              <w:t>32</w:t>
            </w:r>
          </w:p>
        </w:tc>
        <w:tc>
          <w:tcPr>
            <w:tcW w:w="2841" w:type="dxa"/>
          </w:tcPr>
          <w:p w:rsidR="00FB62F1" w:rsidRPr="00B902A7" w:rsidRDefault="00FE0D46" w:rsidP="00D17146">
            <w:r w:rsidRPr="00B902A7">
              <w:t>62</w:t>
            </w:r>
          </w:p>
        </w:tc>
      </w:tr>
      <w:tr w:rsidR="00FB62F1" w:rsidTr="00D1781B">
        <w:tc>
          <w:tcPr>
            <w:tcW w:w="2840" w:type="dxa"/>
          </w:tcPr>
          <w:p w:rsidR="00FB62F1" w:rsidRPr="00B902A7" w:rsidRDefault="00FB62F1" w:rsidP="00D17146">
            <w:r w:rsidRPr="00B902A7">
              <w:t xml:space="preserve">Higher </w:t>
            </w:r>
            <w:r w:rsidR="00653E1D" w:rsidRPr="00B902A7">
              <w:t>A</w:t>
            </w:r>
            <w:r w:rsidR="00BD36DD" w:rsidRPr="00B902A7">
              <w:t>A</w:t>
            </w:r>
            <w:r w:rsidRPr="00B902A7">
              <w:t xml:space="preserve"> </w:t>
            </w:r>
          </w:p>
        </w:tc>
        <w:tc>
          <w:tcPr>
            <w:tcW w:w="2841" w:type="dxa"/>
          </w:tcPr>
          <w:p w:rsidR="00FB62F1" w:rsidRPr="00B902A7" w:rsidRDefault="00B902A7" w:rsidP="00D17146">
            <w:r w:rsidRPr="00B902A7">
              <w:t>20</w:t>
            </w:r>
          </w:p>
        </w:tc>
        <w:tc>
          <w:tcPr>
            <w:tcW w:w="2841" w:type="dxa"/>
          </w:tcPr>
          <w:p w:rsidR="00FB62F1" w:rsidRPr="00B902A7" w:rsidRDefault="00FE0D46" w:rsidP="00D17146">
            <w:r w:rsidRPr="00B902A7">
              <w:t xml:space="preserve">38 </w:t>
            </w:r>
          </w:p>
        </w:tc>
      </w:tr>
    </w:tbl>
    <w:p w:rsidR="009A5611" w:rsidRDefault="009A5611" w:rsidP="00D17146"/>
    <w:p w:rsidR="00FE0D46" w:rsidRDefault="00FE0D46" w:rsidP="00D17146">
      <w:r>
        <w:t xml:space="preserve">The majority of respondents received the lower rate of </w:t>
      </w:r>
      <w:r w:rsidR="00653E1D">
        <w:t>A</w:t>
      </w:r>
      <w:r w:rsidR="00BD36DD">
        <w:t>A</w:t>
      </w:r>
      <w:r w:rsidR="00B902A7">
        <w:t xml:space="preserve"> (</w:t>
      </w:r>
      <w:r w:rsidR="00BD397E">
        <w:t xml:space="preserve">at the time, </w:t>
      </w:r>
      <w:r w:rsidR="00787DD4">
        <w:t>£</w:t>
      </w:r>
      <w:r>
        <w:t>55.10</w:t>
      </w:r>
      <w:r w:rsidR="00BD397E">
        <w:t xml:space="preserve"> per</w:t>
      </w:r>
      <w:r>
        <w:t xml:space="preserve"> week</w:t>
      </w:r>
      <w:r w:rsidR="00BD397E">
        <w:t>)</w:t>
      </w:r>
      <w:r>
        <w:t>.</w:t>
      </w:r>
    </w:p>
    <w:p w:rsidR="00FE0D46" w:rsidRDefault="00FE0D46" w:rsidP="00D17146"/>
    <w:p w:rsidR="008D7A9D" w:rsidRDefault="008D7A9D" w:rsidP="00972DF6">
      <w:pPr>
        <w:pStyle w:val="Heading2"/>
      </w:pPr>
      <w:r>
        <w:br w:type="page"/>
      </w:r>
    </w:p>
    <w:p w:rsidR="00972DF6" w:rsidRPr="00024A25" w:rsidRDefault="0079346E" w:rsidP="00972DF6">
      <w:pPr>
        <w:pStyle w:val="Heading2"/>
        <w:rPr>
          <w:sz w:val="32"/>
          <w:szCs w:val="32"/>
        </w:rPr>
      </w:pPr>
      <w:r>
        <w:rPr>
          <w:sz w:val="32"/>
          <w:szCs w:val="32"/>
        </w:rPr>
        <w:lastRenderedPageBreak/>
        <w:t xml:space="preserve">4. </w:t>
      </w:r>
      <w:r w:rsidR="00972DF6" w:rsidRPr="00024A25">
        <w:rPr>
          <w:sz w:val="32"/>
          <w:szCs w:val="32"/>
        </w:rPr>
        <w:t>Help received by claimants</w:t>
      </w:r>
    </w:p>
    <w:p w:rsidR="00292F5D" w:rsidRDefault="00BD397E" w:rsidP="00024A25">
      <w:r w:rsidRPr="00BD397E">
        <w:t>4.1</w:t>
      </w:r>
      <w:r>
        <w:t xml:space="preserve"> We asked </w:t>
      </w:r>
      <w:r w:rsidR="002E0DBF">
        <w:t>about help from various sources.</w:t>
      </w:r>
    </w:p>
    <w:p w:rsidR="00BD397E" w:rsidRPr="00BD397E" w:rsidRDefault="00BD397E" w:rsidP="00024A25"/>
    <w:p w:rsidR="004F6510" w:rsidRPr="00024A25" w:rsidRDefault="004F6510" w:rsidP="00024A25">
      <w:pPr>
        <w:rPr>
          <w:b/>
        </w:rPr>
      </w:pPr>
      <w:r w:rsidRPr="00024A25">
        <w:rPr>
          <w:b/>
        </w:rPr>
        <w:t>Table 6: What help does the respondent receive</w:t>
      </w:r>
      <w:r w:rsidR="0079346E">
        <w:rPr>
          <w:b/>
        </w:rPr>
        <w:t>?</w:t>
      </w:r>
      <w:r w:rsidR="00AC643E" w:rsidRPr="00024A25">
        <w:rPr>
          <w:b/>
        </w:rPr>
        <w:t xml:space="preserve"> </w:t>
      </w:r>
    </w:p>
    <w:p w:rsidR="004F6510" w:rsidRDefault="004F6510" w:rsidP="00D17146"/>
    <w:tbl>
      <w:tblPr>
        <w:tblStyle w:val="TableGrid"/>
        <w:tblW w:w="0" w:type="auto"/>
        <w:tblLayout w:type="fixed"/>
        <w:tblLook w:val="04A0"/>
      </w:tblPr>
      <w:tblGrid>
        <w:gridCol w:w="4503"/>
        <w:gridCol w:w="2126"/>
        <w:gridCol w:w="1893"/>
      </w:tblGrid>
      <w:tr w:rsidR="00375231" w:rsidTr="00D17146">
        <w:tc>
          <w:tcPr>
            <w:tcW w:w="4503" w:type="dxa"/>
          </w:tcPr>
          <w:p w:rsidR="00375231" w:rsidRPr="005F302F" w:rsidRDefault="00375231" w:rsidP="00D17146"/>
        </w:tc>
        <w:tc>
          <w:tcPr>
            <w:tcW w:w="2126" w:type="dxa"/>
          </w:tcPr>
          <w:p w:rsidR="00375231" w:rsidRDefault="00375231" w:rsidP="00292F5D">
            <w:r>
              <w:t>Number of respondents (n=</w:t>
            </w:r>
            <w:r w:rsidR="00292F5D">
              <w:t>52</w:t>
            </w:r>
            <w:r>
              <w:t>)</w:t>
            </w:r>
          </w:p>
        </w:tc>
        <w:tc>
          <w:tcPr>
            <w:tcW w:w="1893" w:type="dxa"/>
          </w:tcPr>
          <w:p w:rsidR="00375231" w:rsidRDefault="00375231" w:rsidP="00D17146">
            <w:r>
              <w:t>Percentage of respondents</w:t>
            </w:r>
          </w:p>
        </w:tc>
      </w:tr>
      <w:tr w:rsidR="00240F36" w:rsidTr="00D17146">
        <w:tc>
          <w:tcPr>
            <w:tcW w:w="4503" w:type="dxa"/>
          </w:tcPr>
          <w:p w:rsidR="00240F36" w:rsidRDefault="00240F36" w:rsidP="00D17146">
            <w:r w:rsidRPr="004F6510">
              <w:t>Help from people/carer(s) who don't live with you</w:t>
            </w:r>
          </w:p>
        </w:tc>
        <w:tc>
          <w:tcPr>
            <w:tcW w:w="2126" w:type="dxa"/>
          </w:tcPr>
          <w:p w:rsidR="00240F36" w:rsidRDefault="00292F5D" w:rsidP="00D17146">
            <w:r>
              <w:t>23</w:t>
            </w:r>
          </w:p>
        </w:tc>
        <w:tc>
          <w:tcPr>
            <w:tcW w:w="1893" w:type="dxa"/>
          </w:tcPr>
          <w:p w:rsidR="00240F36" w:rsidRDefault="00240F36" w:rsidP="00D17146">
            <w:r>
              <w:t xml:space="preserve">44 </w:t>
            </w:r>
          </w:p>
        </w:tc>
      </w:tr>
      <w:tr w:rsidR="00E61A5C" w:rsidTr="00D17146">
        <w:tc>
          <w:tcPr>
            <w:tcW w:w="4503" w:type="dxa"/>
          </w:tcPr>
          <w:p w:rsidR="00E61A5C" w:rsidRDefault="00E61A5C" w:rsidP="00D17146">
            <w:bookmarkStart w:id="0" w:name="_GoBack"/>
            <w:r w:rsidRPr="004F6510">
              <w:t>Help from both people/carer(s) who live with you and who don't live with you</w:t>
            </w:r>
          </w:p>
        </w:tc>
        <w:tc>
          <w:tcPr>
            <w:tcW w:w="2126" w:type="dxa"/>
          </w:tcPr>
          <w:p w:rsidR="00E61A5C" w:rsidRDefault="00E61A5C" w:rsidP="00D17146">
            <w:r>
              <w:t>14</w:t>
            </w:r>
          </w:p>
        </w:tc>
        <w:tc>
          <w:tcPr>
            <w:tcW w:w="1893" w:type="dxa"/>
          </w:tcPr>
          <w:p w:rsidR="00E61A5C" w:rsidRDefault="00E61A5C" w:rsidP="00D17146">
            <w:r>
              <w:t>27</w:t>
            </w:r>
          </w:p>
        </w:tc>
      </w:tr>
      <w:tr w:rsidR="00E61A5C" w:rsidTr="00D17146">
        <w:tc>
          <w:tcPr>
            <w:tcW w:w="4503" w:type="dxa"/>
          </w:tcPr>
          <w:p w:rsidR="00E61A5C" w:rsidRDefault="00E61A5C" w:rsidP="00D17146">
            <w:r w:rsidRPr="004F6510">
              <w:t>Help from people/carer(s) you live with</w:t>
            </w:r>
          </w:p>
        </w:tc>
        <w:tc>
          <w:tcPr>
            <w:tcW w:w="2126" w:type="dxa"/>
          </w:tcPr>
          <w:p w:rsidR="00E61A5C" w:rsidRDefault="00E61A5C" w:rsidP="00D17146">
            <w:r>
              <w:t>12</w:t>
            </w:r>
          </w:p>
        </w:tc>
        <w:tc>
          <w:tcPr>
            <w:tcW w:w="1893" w:type="dxa"/>
          </w:tcPr>
          <w:p w:rsidR="00E61A5C" w:rsidRDefault="00E61A5C" w:rsidP="00D17146">
            <w:r>
              <w:t>23</w:t>
            </w:r>
          </w:p>
        </w:tc>
      </w:tr>
      <w:bookmarkEnd w:id="0"/>
      <w:tr w:rsidR="00240F36" w:rsidTr="00D17146">
        <w:tc>
          <w:tcPr>
            <w:tcW w:w="4503" w:type="dxa"/>
          </w:tcPr>
          <w:p w:rsidR="00240F36" w:rsidRDefault="00240F36" w:rsidP="00D17146">
            <w:r>
              <w:t xml:space="preserve">No extra help </w:t>
            </w:r>
          </w:p>
        </w:tc>
        <w:tc>
          <w:tcPr>
            <w:tcW w:w="2126" w:type="dxa"/>
          </w:tcPr>
          <w:p w:rsidR="00240F36" w:rsidRDefault="00240F36" w:rsidP="00D17146">
            <w:r>
              <w:t>3</w:t>
            </w:r>
          </w:p>
        </w:tc>
        <w:tc>
          <w:tcPr>
            <w:tcW w:w="1893" w:type="dxa"/>
          </w:tcPr>
          <w:p w:rsidR="00240F36" w:rsidRDefault="005B7C84" w:rsidP="00D17146">
            <w:r>
              <w:t>6</w:t>
            </w:r>
          </w:p>
        </w:tc>
      </w:tr>
    </w:tbl>
    <w:p w:rsidR="00043E69" w:rsidRDefault="00043E69" w:rsidP="00D17146">
      <w:pPr>
        <w:rPr>
          <w:b/>
        </w:rPr>
      </w:pPr>
    </w:p>
    <w:p w:rsidR="00FC252D" w:rsidRDefault="00FC252D" w:rsidP="00D17146">
      <w:r w:rsidRPr="00FC252D">
        <w:t>Near</w:t>
      </w:r>
      <w:r>
        <w:t>ly all respondents received help from someone, most commonly from a carer</w:t>
      </w:r>
      <w:r w:rsidR="005B7C84">
        <w:t>/</w:t>
      </w:r>
      <w:r w:rsidR="00637059">
        <w:t xml:space="preserve"> </w:t>
      </w:r>
      <w:r w:rsidR="005B7C84">
        <w:t>people</w:t>
      </w:r>
      <w:r w:rsidR="00637059">
        <w:t xml:space="preserve"> who did not</w:t>
      </w:r>
      <w:r>
        <w:t xml:space="preserve"> live with them. This reflects the high proportion of respondents who lived alone (see Table 4).</w:t>
      </w:r>
    </w:p>
    <w:p w:rsidR="001558D9" w:rsidRDefault="001558D9" w:rsidP="00D17146"/>
    <w:p w:rsidR="00E7296E" w:rsidRPr="00FC252D" w:rsidRDefault="00070B06" w:rsidP="00D17146">
      <w:r>
        <w:t xml:space="preserve">Although three </w:t>
      </w:r>
      <w:r w:rsidR="00E7296E">
        <w:t>people responded that they had no extra help, this figure dropped to 1 when specific types of help were prompted (see Table 7.)</w:t>
      </w:r>
      <w:r w:rsidR="00C93B16">
        <w:t xml:space="preserve"> </w:t>
      </w:r>
    </w:p>
    <w:p w:rsidR="00E7296E" w:rsidRDefault="00E7296E" w:rsidP="00D17146"/>
    <w:p w:rsidR="00043E69" w:rsidRPr="00024A25" w:rsidRDefault="00043E69" w:rsidP="00024A25">
      <w:pPr>
        <w:rPr>
          <w:b/>
        </w:rPr>
      </w:pPr>
      <w:r w:rsidRPr="00024A25">
        <w:rPr>
          <w:b/>
        </w:rPr>
        <w:t>Table 7: Type of help received</w:t>
      </w:r>
    </w:p>
    <w:p w:rsidR="00043E69" w:rsidRDefault="00043E69" w:rsidP="00D17146"/>
    <w:tbl>
      <w:tblPr>
        <w:tblStyle w:val="TableGrid"/>
        <w:tblW w:w="874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52"/>
        <w:gridCol w:w="2977"/>
        <w:gridCol w:w="2119"/>
      </w:tblGrid>
      <w:tr w:rsidR="00375231" w:rsidTr="008D7A9D">
        <w:tc>
          <w:tcPr>
            <w:tcW w:w="3652" w:type="dxa"/>
            <w:tcBorders>
              <w:top w:val="single" w:sz="4" w:space="0" w:color="auto"/>
              <w:left w:val="single" w:sz="4" w:space="0" w:color="auto"/>
              <w:bottom w:val="single" w:sz="4" w:space="0" w:color="auto"/>
              <w:right w:val="single" w:sz="4" w:space="0" w:color="auto"/>
            </w:tcBorders>
          </w:tcPr>
          <w:p w:rsidR="00375231" w:rsidRPr="005F302F" w:rsidRDefault="00375231" w:rsidP="00D17146"/>
        </w:tc>
        <w:tc>
          <w:tcPr>
            <w:tcW w:w="2977" w:type="dxa"/>
            <w:tcBorders>
              <w:top w:val="single" w:sz="4" w:space="0" w:color="auto"/>
              <w:left w:val="single" w:sz="4" w:space="0" w:color="auto"/>
              <w:bottom w:val="single" w:sz="4" w:space="0" w:color="auto"/>
              <w:right w:val="single" w:sz="4" w:space="0" w:color="auto"/>
            </w:tcBorders>
          </w:tcPr>
          <w:p w:rsidR="00375231" w:rsidRDefault="00375231" w:rsidP="0031554F">
            <w:r>
              <w:t>Number of respondents (n=</w:t>
            </w:r>
            <w:r w:rsidR="0031554F">
              <w:t>52</w:t>
            </w:r>
            <w:r>
              <w:t>)</w:t>
            </w:r>
          </w:p>
        </w:tc>
        <w:tc>
          <w:tcPr>
            <w:tcW w:w="2119" w:type="dxa"/>
            <w:tcBorders>
              <w:top w:val="single" w:sz="4" w:space="0" w:color="auto"/>
              <w:left w:val="single" w:sz="4" w:space="0" w:color="auto"/>
              <w:bottom w:val="single" w:sz="4" w:space="0" w:color="auto"/>
              <w:right w:val="single" w:sz="4" w:space="0" w:color="auto"/>
            </w:tcBorders>
          </w:tcPr>
          <w:p w:rsidR="00375231" w:rsidRPr="00334893" w:rsidRDefault="00375231" w:rsidP="00D17146">
            <w:r w:rsidRPr="00334893">
              <w:t>Percentage of respondents</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rsidRPr="005E46B1">
              <w:t>Travel to and from the hospital</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46</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334893">
            <w:r w:rsidRPr="00334893">
              <w:t>88</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rsidRPr="005E46B1">
              <w:t>Help with housework</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45</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86</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Default="004C5C2D" w:rsidP="00D17146">
            <w:r>
              <w:t xml:space="preserve">Cleaning </w:t>
            </w:r>
          </w:p>
        </w:tc>
        <w:tc>
          <w:tcPr>
            <w:tcW w:w="2977" w:type="dxa"/>
            <w:tcBorders>
              <w:top w:val="single" w:sz="4" w:space="0" w:color="auto"/>
              <w:left w:val="single" w:sz="4" w:space="0" w:color="auto"/>
              <w:bottom w:val="single" w:sz="4" w:space="0" w:color="auto"/>
              <w:right w:val="single" w:sz="4" w:space="0" w:color="auto"/>
            </w:tcBorders>
          </w:tcPr>
          <w:p w:rsidR="004C5C2D" w:rsidRDefault="004C5C2D" w:rsidP="00D17146">
            <w:pPr>
              <w:ind w:left="-18"/>
            </w:pPr>
            <w:r>
              <w:t>43</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83</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rsidRPr="00043E69">
              <w:t>Help with shopping</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43</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83</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Default="004C5C2D" w:rsidP="00D17146">
            <w:r w:rsidRPr="00043E69">
              <w:t>Driving you to places</w:t>
            </w:r>
          </w:p>
        </w:tc>
        <w:tc>
          <w:tcPr>
            <w:tcW w:w="2977" w:type="dxa"/>
            <w:tcBorders>
              <w:top w:val="single" w:sz="4" w:space="0" w:color="auto"/>
              <w:left w:val="single" w:sz="4" w:space="0" w:color="auto"/>
              <w:bottom w:val="single" w:sz="4" w:space="0" w:color="auto"/>
              <w:right w:val="single" w:sz="4" w:space="0" w:color="auto"/>
            </w:tcBorders>
          </w:tcPr>
          <w:p w:rsidR="004C5C2D" w:rsidRDefault="004C5C2D" w:rsidP="00D17146">
            <w:r>
              <w:t>43</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83</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rsidRPr="00043E69">
              <w:t>Secretarial help (reading mail etc.)</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36</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69</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rsidRPr="00043E69">
              <w:t>Help with collecting/help with taking medication</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28</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54</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Default="004C5C2D" w:rsidP="00D17146">
            <w:r>
              <w:t>W</w:t>
            </w:r>
            <w:r w:rsidRPr="00043E69">
              <w:t>ashing/ironing clothes</w:t>
            </w:r>
          </w:p>
        </w:tc>
        <w:tc>
          <w:tcPr>
            <w:tcW w:w="2977" w:type="dxa"/>
            <w:tcBorders>
              <w:top w:val="single" w:sz="4" w:space="0" w:color="auto"/>
              <w:left w:val="single" w:sz="4" w:space="0" w:color="auto"/>
              <w:bottom w:val="single" w:sz="4" w:space="0" w:color="auto"/>
              <w:right w:val="single" w:sz="4" w:space="0" w:color="auto"/>
            </w:tcBorders>
          </w:tcPr>
          <w:p w:rsidR="004C5C2D" w:rsidRDefault="004C5C2D" w:rsidP="00D17146">
            <w:pPr>
              <w:ind w:left="-18"/>
            </w:pPr>
            <w:r>
              <w:t>27</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52</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Default="004C5C2D" w:rsidP="00D17146">
            <w:r>
              <w:t xml:space="preserve">Cooking/preparing food </w:t>
            </w:r>
          </w:p>
        </w:tc>
        <w:tc>
          <w:tcPr>
            <w:tcW w:w="2977" w:type="dxa"/>
            <w:tcBorders>
              <w:top w:val="single" w:sz="4" w:space="0" w:color="auto"/>
              <w:left w:val="single" w:sz="4" w:space="0" w:color="auto"/>
              <w:bottom w:val="single" w:sz="4" w:space="0" w:color="auto"/>
              <w:right w:val="single" w:sz="4" w:space="0" w:color="auto"/>
            </w:tcBorders>
          </w:tcPr>
          <w:p w:rsidR="004C5C2D" w:rsidRDefault="004C5C2D" w:rsidP="00D17146">
            <w:pPr>
              <w:ind w:left="-18"/>
            </w:pPr>
            <w:r>
              <w:t>27</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52</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Default="004C5C2D" w:rsidP="00D17146">
            <w:r>
              <w:lastRenderedPageBreak/>
              <w:t>W</w:t>
            </w:r>
            <w:r w:rsidRPr="00043E69">
              <w:t>ith appearance or dressing/undressing</w:t>
            </w:r>
          </w:p>
        </w:tc>
        <w:tc>
          <w:tcPr>
            <w:tcW w:w="2977" w:type="dxa"/>
            <w:tcBorders>
              <w:top w:val="single" w:sz="4" w:space="0" w:color="auto"/>
              <w:left w:val="single" w:sz="4" w:space="0" w:color="auto"/>
              <w:bottom w:val="single" w:sz="4" w:space="0" w:color="auto"/>
              <w:right w:val="single" w:sz="4" w:space="0" w:color="auto"/>
            </w:tcBorders>
          </w:tcPr>
          <w:p w:rsidR="004C5C2D" w:rsidRDefault="004C5C2D" w:rsidP="00D17146">
            <w:pPr>
              <w:ind w:left="-18"/>
            </w:pPr>
            <w:r>
              <w:t>23</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44</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 xml:space="preserve">Gardening </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1</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2</w:t>
            </w:r>
          </w:p>
        </w:tc>
      </w:tr>
      <w:tr w:rsidR="004C5C2D" w:rsidTr="008D7A9D">
        <w:tc>
          <w:tcPr>
            <w:tcW w:w="3652"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 xml:space="preserve">No extra help </w:t>
            </w:r>
          </w:p>
        </w:tc>
        <w:tc>
          <w:tcPr>
            <w:tcW w:w="2977" w:type="dxa"/>
            <w:tcBorders>
              <w:top w:val="single" w:sz="4" w:space="0" w:color="auto"/>
              <w:left w:val="single" w:sz="4" w:space="0" w:color="auto"/>
              <w:bottom w:val="single" w:sz="4" w:space="0" w:color="auto"/>
              <w:right w:val="single" w:sz="4" w:space="0" w:color="auto"/>
            </w:tcBorders>
          </w:tcPr>
          <w:p w:rsidR="004C5C2D" w:rsidRPr="005E46B1" w:rsidRDefault="004C5C2D" w:rsidP="00D17146">
            <w:r>
              <w:t>1</w:t>
            </w:r>
          </w:p>
        </w:tc>
        <w:tc>
          <w:tcPr>
            <w:tcW w:w="2119" w:type="dxa"/>
            <w:tcBorders>
              <w:top w:val="single" w:sz="4" w:space="0" w:color="auto"/>
              <w:left w:val="single" w:sz="4" w:space="0" w:color="auto"/>
              <w:bottom w:val="single" w:sz="4" w:space="0" w:color="auto"/>
              <w:right w:val="single" w:sz="4" w:space="0" w:color="auto"/>
            </w:tcBorders>
          </w:tcPr>
          <w:p w:rsidR="004C5C2D" w:rsidRPr="00334893" w:rsidRDefault="00334893" w:rsidP="00D17146">
            <w:r w:rsidRPr="00334893">
              <w:t>2</w:t>
            </w:r>
          </w:p>
        </w:tc>
      </w:tr>
      <w:tr w:rsidR="00043E69" w:rsidTr="008D7A9D">
        <w:tc>
          <w:tcPr>
            <w:tcW w:w="3652" w:type="dxa"/>
            <w:tcBorders>
              <w:top w:val="single" w:sz="4" w:space="0" w:color="auto"/>
            </w:tcBorders>
          </w:tcPr>
          <w:p w:rsidR="00043E69" w:rsidRPr="005E46B1" w:rsidRDefault="00043E69" w:rsidP="00D17146"/>
        </w:tc>
        <w:tc>
          <w:tcPr>
            <w:tcW w:w="2977" w:type="dxa"/>
            <w:tcBorders>
              <w:top w:val="single" w:sz="4" w:space="0" w:color="auto"/>
            </w:tcBorders>
          </w:tcPr>
          <w:p w:rsidR="00043E69" w:rsidRPr="005E46B1" w:rsidRDefault="00043E69" w:rsidP="00D17146"/>
        </w:tc>
        <w:tc>
          <w:tcPr>
            <w:tcW w:w="2119" w:type="dxa"/>
            <w:tcBorders>
              <w:top w:val="single" w:sz="4" w:space="0" w:color="auto"/>
            </w:tcBorders>
          </w:tcPr>
          <w:p w:rsidR="00043E69" w:rsidRPr="005E46B1" w:rsidRDefault="00043E69" w:rsidP="00D17146"/>
        </w:tc>
      </w:tr>
    </w:tbl>
    <w:p w:rsidR="001558D9" w:rsidRDefault="00114D2A" w:rsidP="00D17146">
      <w:r>
        <w:t xml:space="preserve">A high proportion received help with being driven to places, and travel to and from hospital. </w:t>
      </w:r>
      <w:r w:rsidR="001558D9">
        <w:t xml:space="preserve">Nearly all respondents received help with cleaning, housework, and </w:t>
      </w:r>
      <w:r w:rsidR="00E7296E">
        <w:t xml:space="preserve">shopping. </w:t>
      </w:r>
    </w:p>
    <w:p w:rsidR="008E7096" w:rsidRDefault="008E7096" w:rsidP="00D17146"/>
    <w:p w:rsidR="008E7096" w:rsidRDefault="008E7096" w:rsidP="00D17146">
      <w:r>
        <w:t xml:space="preserve">4.2 Very few respondents said someone received Carer’s Allowance for providing them with help. </w:t>
      </w:r>
    </w:p>
    <w:p w:rsidR="001558D9" w:rsidRPr="001558D9" w:rsidRDefault="001558D9" w:rsidP="00D17146"/>
    <w:p w:rsidR="005308CB" w:rsidRPr="00024A25" w:rsidRDefault="00637059" w:rsidP="00024A25">
      <w:pPr>
        <w:rPr>
          <w:b/>
        </w:rPr>
      </w:pPr>
      <w:r>
        <w:rPr>
          <w:b/>
        </w:rPr>
        <w:t>Table 8: Receipt of Carer’s A</w:t>
      </w:r>
      <w:r w:rsidR="005308CB" w:rsidRPr="00024A25">
        <w:rPr>
          <w:b/>
        </w:rPr>
        <w:t>llowance</w:t>
      </w:r>
      <w:r w:rsidR="00AC643E" w:rsidRPr="00024A25">
        <w:rPr>
          <w:b/>
        </w:rPr>
        <w:t xml:space="preserve"> </w:t>
      </w:r>
    </w:p>
    <w:p w:rsidR="005308CB" w:rsidRDefault="005308CB" w:rsidP="00D17146"/>
    <w:tbl>
      <w:tblPr>
        <w:tblStyle w:val="TableGrid"/>
        <w:tblW w:w="0" w:type="auto"/>
        <w:tblLook w:val="04A0"/>
      </w:tblPr>
      <w:tblGrid>
        <w:gridCol w:w="2840"/>
        <w:gridCol w:w="2841"/>
        <w:gridCol w:w="2841"/>
      </w:tblGrid>
      <w:tr w:rsidR="00375231" w:rsidTr="00D1781B">
        <w:tc>
          <w:tcPr>
            <w:tcW w:w="2840" w:type="dxa"/>
          </w:tcPr>
          <w:p w:rsidR="00375231" w:rsidRPr="005F302F" w:rsidRDefault="00375231" w:rsidP="00D17146"/>
        </w:tc>
        <w:tc>
          <w:tcPr>
            <w:tcW w:w="2841" w:type="dxa"/>
          </w:tcPr>
          <w:p w:rsidR="00375231" w:rsidRDefault="00114D2A" w:rsidP="00114D2A">
            <w:r>
              <w:t>Number of respondents (n=52)</w:t>
            </w:r>
          </w:p>
        </w:tc>
        <w:tc>
          <w:tcPr>
            <w:tcW w:w="2841" w:type="dxa"/>
          </w:tcPr>
          <w:p w:rsidR="00375231" w:rsidRDefault="00375231" w:rsidP="00D17146">
            <w:r>
              <w:t>Percentage of respondents</w:t>
            </w:r>
          </w:p>
        </w:tc>
      </w:tr>
      <w:tr w:rsidR="005308CB" w:rsidTr="00D1781B">
        <w:tc>
          <w:tcPr>
            <w:tcW w:w="2840" w:type="dxa"/>
          </w:tcPr>
          <w:p w:rsidR="005308CB" w:rsidRDefault="005308CB" w:rsidP="00D17146">
            <w:r>
              <w:t>Yes</w:t>
            </w:r>
          </w:p>
        </w:tc>
        <w:tc>
          <w:tcPr>
            <w:tcW w:w="2841" w:type="dxa"/>
          </w:tcPr>
          <w:p w:rsidR="005308CB" w:rsidRDefault="001370F5" w:rsidP="00D17146">
            <w:r>
              <w:t>3</w:t>
            </w:r>
          </w:p>
        </w:tc>
        <w:tc>
          <w:tcPr>
            <w:tcW w:w="2841" w:type="dxa"/>
          </w:tcPr>
          <w:p w:rsidR="005308CB" w:rsidRDefault="00114D2A" w:rsidP="00D17146">
            <w:r>
              <w:t>6</w:t>
            </w:r>
          </w:p>
        </w:tc>
      </w:tr>
      <w:tr w:rsidR="005308CB" w:rsidTr="00D1781B">
        <w:tc>
          <w:tcPr>
            <w:tcW w:w="2840" w:type="dxa"/>
          </w:tcPr>
          <w:p w:rsidR="005308CB" w:rsidRDefault="005308CB" w:rsidP="00D17146">
            <w:r>
              <w:t xml:space="preserve">No </w:t>
            </w:r>
          </w:p>
        </w:tc>
        <w:tc>
          <w:tcPr>
            <w:tcW w:w="2841" w:type="dxa"/>
          </w:tcPr>
          <w:p w:rsidR="005308CB" w:rsidRDefault="00114D2A" w:rsidP="00D17146">
            <w:r>
              <w:t>49</w:t>
            </w:r>
          </w:p>
        </w:tc>
        <w:tc>
          <w:tcPr>
            <w:tcW w:w="2841" w:type="dxa"/>
          </w:tcPr>
          <w:p w:rsidR="005308CB" w:rsidRDefault="00E7296E" w:rsidP="00D17146">
            <w:r>
              <w:t>9</w:t>
            </w:r>
            <w:r w:rsidR="00114D2A">
              <w:t>4</w:t>
            </w:r>
          </w:p>
        </w:tc>
      </w:tr>
    </w:tbl>
    <w:p w:rsidR="00A10D26" w:rsidRDefault="00A10D26" w:rsidP="00D17146">
      <w:pPr>
        <w:rPr>
          <w:b/>
        </w:rPr>
      </w:pPr>
    </w:p>
    <w:p w:rsidR="00A77E64" w:rsidRDefault="008E7096" w:rsidP="00A77E64">
      <w:r>
        <w:t>4.3 The overlap – or lack of it – be</w:t>
      </w:r>
      <w:r w:rsidR="002553D2">
        <w:t>tw</w:t>
      </w:r>
      <w:r>
        <w:t xml:space="preserve">een social services support and </w:t>
      </w:r>
      <w:r w:rsidR="002553D2">
        <w:t>AA has been an important feature of this debate.</w:t>
      </w:r>
    </w:p>
    <w:p w:rsidR="002553D2" w:rsidRPr="00A77E64" w:rsidRDefault="002553D2" w:rsidP="00A77E64"/>
    <w:p w:rsidR="005308CB" w:rsidRPr="00024A25" w:rsidRDefault="005308CB" w:rsidP="00024A25">
      <w:pPr>
        <w:rPr>
          <w:b/>
        </w:rPr>
      </w:pPr>
      <w:r w:rsidRPr="00024A25">
        <w:rPr>
          <w:b/>
        </w:rPr>
        <w:t xml:space="preserve">Table 9: </w:t>
      </w:r>
      <w:r w:rsidR="00B40D4B" w:rsidRPr="00024A25">
        <w:rPr>
          <w:b/>
        </w:rPr>
        <w:t>H</w:t>
      </w:r>
      <w:r w:rsidRPr="00024A25">
        <w:rPr>
          <w:b/>
        </w:rPr>
        <w:t>elp received</w:t>
      </w:r>
      <w:r w:rsidR="00C35644" w:rsidRPr="00024A25">
        <w:rPr>
          <w:b/>
        </w:rPr>
        <w:t xml:space="preserve"> from social services </w:t>
      </w:r>
    </w:p>
    <w:p w:rsidR="005308CB" w:rsidRDefault="005308CB" w:rsidP="00D17146"/>
    <w:tbl>
      <w:tblPr>
        <w:tblStyle w:val="TableGrid"/>
        <w:tblW w:w="0" w:type="auto"/>
        <w:tblLayout w:type="fixed"/>
        <w:tblLook w:val="04A0"/>
      </w:tblPr>
      <w:tblGrid>
        <w:gridCol w:w="3936"/>
        <w:gridCol w:w="2126"/>
        <w:gridCol w:w="2460"/>
      </w:tblGrid>
      <w:tr w:rsidR="00375231" w:rsidTr="00D17146">
        <w:tc>
          <w:tcPr>
            <w:tcW w:w="3936" w:type="dxa"/>
          </w:tcPr>
          <w:p w:rsidR="00375231" w:rsidRPr="00C03E18" w:rsidRDefault="00375231" w:rsidP="00D17146"/>
        </w:tc>
        <w:tc>
          <w:tcPr>
            <w:tcW w:w="2126" w:type="dxa"/>
          </w:tcPr>
          <w:p w:rsidR="00375231" w:rsidRPr="00C03E18" w:rsidRDefault="00375231" w:rsidP="00C03E18">
            <w:r w:rsidRPr="00C03E18">
              <w:t>Number of respondents (n=</w:t>
            </w:r>
            <w:r w:rsidR="00C03E18" w:rsidRPr="00C03E18">
              <w:t>52</w:t>
            </w:r>
            <w:r w:rsidRPr="00C03E18">
              <w:t>)</w:t>
            </w:r>
          </w:p>
        </w:tc>
        <w:tc>
          <w:tcPr>
            <w:tcW w:w="2460" w:type="dxa"/>
          </w:tcPr>
          <w:p w:rsidR="00375231" w:rsidRPr="00A77E64" w:rsidRDefault="00375231" w:rsidP="00D17146">
            <w:r w:rsidRPr="00A77E64">
              <w:t>Percentage of respondents</w:t>
            </w:r>
          </w:p>
        </w:tc>
      </w:tr>
      <w:tr w:rsidR="00240F36" w:rsidTr="00D17146">
        <w:tc>
          <w:tcPr>
            <w:tcW w:w="3936" w:type="dxa"/>
            <w:vAlign w:val="bottom"/>
          </w:tcPr>
          <w:p w:rsidR="00240F36" w:rsidRPr="00C03E18" w:rsidRDefault="00B40D4B" w:rsidP="00D17146">
            <w:r w:rsidRPr="00C03E18">
              <w:t xml:space="preserve">Receives </w:t>
            </w:r>
            <w:r w:rsidR="00240F36" w:rsidRPr="00C03E18">
              <w:t>help</w:t>
            </w:r>
          </w:p>
        </w:tc>
        <w:tc>
          <w:tcPr>
            <w:tcW w:w="2126" w:type="dxa"/>
            <w:vAlign w:val="center"/>
          </w:tcPr>
          <w:p w:rsidR="00240F36" w:rsidRPr="00C03E18" w:rsidRDefault="00C03E18" w:rsidP="00D17146">
            <w:r w:rsidRPr="00C03E18">
              <w:t>12</w:t>
            </w:r>
          </w:p>
        </w:tc>
        <w:tc>
          <w:tcPr>
            <w:tcW w:w="2460" w:type="dxa"/>
            <w:vAlign w:val="center"/>
          </w:tcPr>
          <w:p w:rsidR="00240F36" w:rsidRPr="00A77E64" w:rsidRDefault="00A77E64" w:rsidP="00D17146">
            <w:r w:rsidRPr="00A77E64">
              <w:t>23</w:t>
            </w:r>
          </w:p>
        </w:tc>
      </w:tr>
      <w:tr w:rsidR="00B40D4B" w:rsidTr="00D17146">
        <w:tc>
          <w:tcPr>
            <w:tcW w:w="3936" w:type="dxa"/>
            <w:vAlign w:val="bottom"/>
          </w:tcPr>
          <w:p w:rsidR="00B40D4B" w:rsidRPr="00C03E18" w:rsidRDefault="00B40D4B" w:rsidP="00D17146">
            <w:r w:rsidRPr="00C03E18">
              <w:t>Receives no help</w:t>
            </w:r>
          </w:p>
        </w:tc>
        <w:tc>
          <w:tcPr>
            <w:tcW w:w="2126" w:type="dxa"/>
            <w:vAlign w:val="center"/>
          </w:tcPr>
          <w:p w:rsidR="00B40D4B" w:rsidRPr="00C03E18" w:rsidRDefault="00C03E18" w:rsidP="00D17146">
            <w:r w:rsidRPr="00C03E18">
              <w:t>4</w:t>
            </w:r>
            <w:r w:rsidR="00A77E64">
              <w:t>0</w:t>
            </w:r>
          </w:p>
        </w:tc>
        <w:tc>
          <w:tcPr>
            <w:tcW w:w="2460" w:type="dxa"/>
            <w:vAlign w:val="center"/>
          </w:tcPr>
          <w:p w:rsidR="00B40D4B" w:rsidRPr="00A77E64" w:rsidRDefault="00A77E64" w:rsidP="00D17146">
            <w:r w:rsidRPr="00A77E64">
              <w:t>77</w:t>
            </w:r>
          </w:p>
        </w:tc>
      </w:tr>
    </w:tbl>
    <w:p w:rsidR="00D1781B" w:rsidRDefault="00D1781B" w:rsidP="00D17146"/>
    <w:p w:rsidR="009A5611" w:rsidRDefault="00A10D26" w:rsidP="00D17146">
      <w:r>
        <w:t>In contrast to the help received</w:t>
      </w:r>
      <w:r w:rsidR="00733D60">
        <w:t xml:space="preserve"> from carers, the overall level</w:t>
      </w:r>
      <w:r>
        <w:t xml:space="preserve"> of support from social services was low. </w:t>
      </w:r>
      <w:r w:rsidR="00C03E18">
        <w:t>Approximately, f</w:t>
      </w:r>
      <w:r>
        <w:t>our fifths of respondents said they received no help.</w:t>
      </w:r>
    </w:p>
    <w:p w:rsidR="00A10D26" w:rsidRDefault="00A10D26" w:rsidP="00D17146"/>
    <w:p w:rsidR="00B40D4B" w:rsidRDefault="00B40D4B" w:rsidP="00D17146">
      <w:r>
        <w:t xml:space="preserve">Help for the remaining </w:t>
      </w:r>
      <w:r w:rsidR="003B6FE6">
        <w:t>eight</w:t>
      </w:r>
      <w:r>
        <w:t xml:space="preserve"> respondents included hand rails, </w:t>
      </w:r>
      <w:r w:rsidR="002553D2">
        <w:t xml:space="preserve">aids and equipment to help make things more visible (for example, painted stripes to provide more contrast) or more tactile (for example, </w:t>
      </w:r>
      <w:r>
        <w:t>“</w:t>
      </w:r>
      <w:proofErr w:type="spellStart"/>
      <w:r>
        <w:t>bumpons</w:t>
      </w:r>
      <w:proofErr w:type="spellEnd"/>
      <w:r>
        <w:t xml:space="preserve">” or raised stickers), mobility aids such as a white cane, low vision aids, liquid level indicators, anti-glare sunglasses, </w:t>
      </w:r>
      <w:r w:rsidR="002553D2">
        <w:t>talking aids, emotional support</w:t>
      </w:r>
      <w:r>
        <w:t xml:space="preserve"> and chiropody.</w:t>
      </w:r>
    </w:p>
    <w:p w:rsidR="00B40D4B" w:rsidRPr="009A5611" w:rsidRDefault="00B40D4B" w:rsidP="00D17146"/>
    <w:p w:rsidR="008D7A9D" w:rsidRDefault="008D7A9D" w:rsidP="00D17146">
      <w:pPr>
        <w:pStyle w:val="Heading2"/>
      </w:pPr>
      <w:r>
        <w:br w:type="page"/>
      </w:r>
    </w:p>
    <w:p w:rsidR="00745EB8" w:rsidRPr="00024A25" w:rsidRDefault="0092601A" w:rsidP="00D17146">
      <w:pPr>
        <w:pStyle w:val="Heading2"/>
        <w:rPr>
          <w:sz w:val="32"/>
          <w:szCs w:val="32"/>
        </w:rPr>
      </w:pPr>
      <w:r>
        <w:rPr>
          <w:sz w:val="32"/>
          <w:szCs w:val="32"/>
        </w:rPr>
        <w:lastRenderedPageBreak/>
        <w:t>5</w:t>
      </w:r>
      <w:r w:rsidR="00DC5EE4">
        <w:rPr>
          <w:sz w:val="32"/>
          <w:szCs w:val="32"/>
        </w:rPr>
        <w:t xml:space="preserve">. </w:t>
      </w:r>
      <w:r w:rsidR="00AC643E" w:rsidRPr="00024A25">
        <w:rPr>
          <w:sz w:val="32"/>
          <w:szCs w:val="32"/>
        </w:rPr>
        <w:t>T</w:t>
      </w:r>
      <w:r>
        <w:rPr>
          <w:sz w:val="32"/>
          <w:szCs w:val="32"/>
        </w:rPr>
        <w:t>he uses claimants make of AA</w:t>
      </w:r>
      <w:r w:rsidR="00745EB8" w:rsidRPr="00024A25">
        <w:rPr>
          <w:sz w:val="32"/>
          <w:szCs w:val="32"/>
        </w:rPr>
        <w:t xml:space="preserve"> </w:t>
      </w:r>
    </w:p>
    <w:p w:rsidR="007676F2" w:rsidRDefault="0092601A" w:rsidP="00024A25">
      <w:r w:rsidRPr="0092601A">
        <w:t>5.1</w:t>
      </w:r>
      <w:r>
        <w:t xml:space="preserve"> Respondents were asked to indicate from a list of pre-set options what they used their AA for. They were also given the option to add further uses if not already listed.</w:t>
      </w:r>
    </w:p>
    <w:p w:rsidR="0092601A" w:rsidRPr="0092601A" w:rsidRDefault="0092601A" w:rsidP="00024A25"/>
    <w:p w:rsidR="009A5611" w:rsidRPr="00024A25" w:rsidRDefault="009A5611" w:rsidP="00024A25">
      <w:pPr>
        <w:rPr>
          <w:b/>
        </w:rPr>
      </w:pPr>
      <w:r w:rsidRPr="00024A25">
        <w:rPr>
          <w:b/>
        </w:rPr>
        <w:t>Table 10: What do people use A</w:t>
      </w:r>
      <w:r w:rsidR="00A31FBA" w:rsidRPr="00024A25">
        <w:rPr>
          <w:b/>
        </w:rPr>
        <w:t>A</w:t>
      </w:r>
      <w:r w:rsidRPr="00024A25">
        <w:rPr>
          <w:b/>
        </w:rPr>
        <w:t xml:space="preserve"> for?</w:t>
      </w:r>
      <w:r w:rsidR="00AC643E" w:rsidRPr="00024A25">
        <w:rPr>
          <w:b/>
        </w:rPr>
        <w:t xml:space="preserve"> </w:t>
      </w:r>
    </w:p>
    <w:p w:rsidR="009A5611" w:rsidRPr="00571DC3" w:rsidRDefault="009A5611" w:rsidP="00D17146">
      <w:pPr>
        <w:rPr>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936"/>
        <w:gridCol w:w="1984"/>
        <w:gridCol w:w="1526"/>
        <w:gridCol w:w="402"/>
      </w:tblGrid>
      <w:tr w:rsidR="00375231" w:rsidTr="00D17146">
        <w:tc>
          <w:tcPr>
            <w:tcW w:w="3936" w:type="dxa"/>
            <w:tcBorders>
              <w:top w:val="single" w:sz="4" w:space="0" w:color="auto"/>
              <w:left w:val="single" w:sz="4" w:space="0" w:color="auto"/>
              <w:bottom w:val="single" w:sz="4" w:space="0" w:color="auto"/>
              <w:right w:val="single" w:sz="4" w:space="0" w:color="auto"/>
            </w:tcBorders>
          </w:tcPr>
          <w:p w:rsidR="00375231" w:rsidRPr="005F302F" w:rsidRDefault="00375231" w:rsidP="00D17146"/>
        </w:tc>
        <w:tc>
          <w:tcPr>
            <w:tcW w:w="1984" w:type="dxa"/>
            <w:tcBorders>
              <w:top w:val="single" w:sz="4" w:space="0" w:color="auto"/>
              <w:left w:val="single" w:sz="4" w:space="0" w:color="auto"/>
              <w:bottom w:val="single" w:sz="4" w:space="0" w:color="auto"/>
              <w:right w:val="single" w:sz="4" w:space="0" w:color="auto"/>
            </w:tcBorders>
          </w:tcPr>
          <w:p w:rsidR="00375231" w:rsidRDefault="00066380" w:rsidP="00D17146">
            <w:r>
              <w:t>Number of respondents (n=52</w:t>
            </w:r>
            <w:r w:rsidR="00375231">
              <w:t>)</w:t>
            </w:r>
          </w:p>
        </w:tc>
        <w:tc>
          <w:tcPr>
            <w:tcW w:w="1928" w:type="dxa"/>
            <w:gridSpan w:val="2"/>
            <w:tcBorders>
              <w:top w:val="single" w:sz="4" w:space="0" w:color="auto"/>
              <w:left w:val="single" w:sz="4" w:space="0" w:color="auto"/>
              <w:bottom w:val="single" w:sz="4" w:space="0" w:color="auto"/>
              <w:right w:val="single" w:sz="4" w:space="0" w:color="auto"/>
            </w:tcBorders>
          </w:tcPr>
          <w:p w:rsidR="00375231" w:rsidRDefault="00375231" w:rsidP="00A77E64">
            <w:pPr>
              <w:ind w:right="-108"/>
            </w:pPr>
            <w:r w:rsidRPr="00A77E64">
              <w:t>Percentage of respondents</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Travel to and from the hospital/clinic</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49</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94</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Travel to and from the doctor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44</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85</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The hairdresser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42</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81</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Taxis</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42</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81</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A window cleaner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38</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73</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The chiropodist</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35</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67</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A gardener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29</w:t>
            </w:r>
          </w:p>
        </w:tc>
        <w:tc>
          <w:tcPr>
            <w:tcW w:w="1928" w:type="dxa"/>
            <w:gridSpan w:val="2"/>
            <w:tcBorders>
              <w:top w:val="single" w:sz="4" w:space="0" w:color="auto"/>
              <w:left w:val="single" w:sz="4" w:space="0" w:color="auto"/>
              <w:bottom w:val="single" w:sz="4" w:space="0" w:color="auto"/>
              <w:right w:val="single" w:sz="4" w:space="0" w:color="auto"/>
            </w:tcBorders>
          </w:tcPr>
          <w:p w:rsidR="00A77E64" w:rsidRPr="009A5611" w:rsidRDefault="00A77E64" w:rsidP="00D17146">
            <w:pPr>
              <w:ind w:right="-108"/>
            </w:pPr>
            <w:r>
              <w:t>56</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Housework/home help</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29</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56</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A cleaner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28</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54</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Social outings/leisure activities</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27</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52</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Aids and equipment</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pPr>
              <w:ind w:right="96"/>
            </w:pPr>
            <w:r>
              <w:t>26</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50</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Reading and writing aids</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23</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44</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t>H</w:t>
            </w:r>
            <w:r w:rsidRPr="009A5611">
              <w:t>elper's costs for a car</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16</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31</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Laundry/ironing</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15</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29</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Help with shopping</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15</w:t>
            </w:r>
          </w:p>
        </w:tc>
        <w:tc>
          <w:tcPr>
            <w:tcW w:w="1928" w:type="dxa"/>
            <w:gridSpan w:val="2"/>
            <w:tcBorders>
              <w:top w:val="single" w:sz="4" w:space="0" w:color="auto"/>
              <w:left w:val="single" w:sz="4" w:space="0" w:color="auto"/>
              <w:bottom w:val="single" w:sz="4" w:space="0" w:color="auto"/>
              <w:right w:val="single" w:sz="4" w:space="0" w:color="auto"/>
            </w:tcBorders>
          </w:tcPr>
          <w:p w:rsidR="00A77E64" w:rsidRDefault="00A77E64" w:rsidP="00D17146">
            <w:pPr>
              <w:ind w:right="-108"/>
            </w:pPr>
            <w:r>
              <w:t>29</w:t>
            </w:r>
          </w:p>
        </w:tc>
      </w:tr>
      <w:tr w:rsidR="00A77E64" w:rsidTr="00D17146">
        <w:tc>
          <w:tcPr>
            <w:tcW w:w="3936" w:type="dxa"/>
            <w:tcBorders>
              <w:top w:val="single" w:sz="4" w:space="0" w:color="auto"/>
              <w:left w:val="single" w:sz="4" w:space="0" w:color="auto"/>
              <w:bottom w:val="single" w:sz="4" w:space="0" w:color="auto"/>
              <w:right w:val="single" w:sz="4" w:space="0" w:color="auto"/>
            </w:tcBorders>
            <w:vAlign w:val="bottom"/>
          </w:tcPr>
          <w:p w:rsidR="00A77E64" w:rsidRPr="009A5611" w:rsidRDefault="00A77E64" w:rsidP="00D17146">
            <w:r w:rsidRPr="009A5611">
              <w:t>Gutter cleaning</w:t>
            </w:r>
          </w:p>
        </w:tc>
        <w:tc>
          <w:tcPr>
            <w:tcW w:w="1984" w:type="dxa"/>
            <w:tcBorders>
              <w:top w:val="single" w:sz="4" w:space="0" w:color="auto"/>
              <w:left w:val="single" w:sz="4" w:space="0" w:color="auto"/>
              <w:bottom w:val="single" w:sz="4" w:space="0" w:color="auto"/>
              <w:right w:val="single" w:sz="4" w:space="0" w:color="auto"/>
            </w:tcBorders>
            <w:vAlign w:val="center"/>
          </w:tcPr>
          <w:p w:rsidR="00A77E64" w:rsidRPr="009A5611" w:rsidRDefault="00A77E64" w:rsidP="00D17146">
            <w:r>
              <w:t>1</w:t>
            </w:r>
          </w:p>
        </w:tc>
        <w:tc>
          <w:tcPr>
            <w:tcW w:w="1928" w:type="dxa"/>
            <w:gridSpan w:val="2"/>
            <w:tcBorders>
              <w:top w:val="single" w:sz="4" w:space="0" w:color="auto"/>
              <w:left w:val="single" w:sz="4" w:space="0" w:color="auto"/>
              <w:bottom w:val="single" w:sz="4" w:space="0" w:color="auto"/>
              <w:right w:val="single" w:sz="4" w:space="0" w:color="auto"/>
            </w:tcBorders>
          </w:tcPr>
          <w:p w:rsidR="00A77E64" w:rsidRPr="009A5611" w:rsidRDefault="00A77E64" w:rsidP="00D17146">
            <w:pPr>
              <w:ind w:right="-108"/>
            </w:pPr>
            <w:r>
              <w:t>2</w:t>
            </w:r>
          </w:p>
        </w:tc>
      </w:tr>
      <w:tr w:rsidR="00D1781B" w:rsidTr="00D17146">
        <w:trPr>
          <w:gridAfter w:val="1"/>
          <w:wAfter w:w="402" w:type="dxa"/>
        </w:trPr>
        <w:tc>
          <w:tcPr>
            <w:tcW w:w="3936" w:type="dxa"/>
          </w:tcPr>
          <w:p w:rsidR="00D1781B" w:rsidRPr="00571DC3" w:rsidRDefault="00D1781B" w:rsidP="00D17146"/>
        </w:tc>
        <w:tc>
          <w:tcPr>
            <w:tcW w:w="1984" w:type="dxa"/>
          </w:tcPr>
          <w:p w:rsidR="00D1781B" w:rsidRDefault="00D1781B" w:rsidP="00D17146"/>
        </w:tc>
        <w:tc>
          <w:tcPr>
            <w:tcW w:w="1526" w:type="dxa"/>
          </w:tcPr>
          <w:p w:rsidR="00D1781B" w:rsidRPr="005E46B1" w:rsidRDefault="00D1781B" w:rsidP="00D17146"/>
        </w:tc>
      </w:tr>
    </w:tbl>
    <w:p w:rsidR="00E44495" w:rsidRDefault="0092601A" w:rsidP="00D17146">
      <w:r>
        <w:t xml:space="preserve">5.2 </w:t>
      </w:r>
      <w:r w:rsidR="008770CF">
        <w:t>The most common use of A</w:t>
      </w:r>
      <w:r w:rsidR="00A31FBA">
        <w:t>A</w:t>
      </w:r>
      <w:r w:rsidR="008770CF">
        <w:t xml:space="preserve"> was for travel to and from the hospital, and to and from the doctor, suggesting that the payment is particularly import</w:t>
      </w:r>
      <w:r>
        <w:t>ant for accessing medical care.</w:t>
      </w:r>
      <w:r w:rsidR="00962C9D" w:rsidRPr="00962C9D">
        <w:t xml:space="preserve"> </w:t>
      </w:r>
      <w:r w:rsidR="00962C9D">
        <w:t>Additionally, the use of taxis</w:t>
      </w:r>
      <w:r>
        <w:t xml:space="preserve"> for reasons other than medical appointments</w:t>
      </w:r>
      <w:r w:rsidR="00962C9D">
        <w:t xml:space="preserve"> was also high</w:t>
      </w:r>
      <w:r w:rsidR="00E44495">
        <w:t>,</w:t>
      </w:r>
      <w:r w:rsidR="00962C9D">
        <w:t xml:space="preserve"> indicating that </w:t>
      </w:r>
      <w:r w:rsidR="00E44495">
        <w:t xml:space="preserve">many </w:t>
      </w:r>
      <w:r w:rsidR="00962C9D">
        <w:t xml:space="preserve">participants </w:t>
      </w:r>
      <w:r w:rsidR="00E44495">
        <w:t xml:space="preserve">particularly </w:t>
      </w:r>
      <w:r w:rsidR="00962C9D">
        <w:t>rely on this means of transport</w:t>
      </w:r>
      <w:r w:rsidR="00E44495">
        <w:t xml:space="preserve"> (as public transport may not be accessible to them)</w:t>
      </w:r>
      <w:r w:rsidR="00962C9D">
        <w:t xml:space="preserve">. </w:t>
      </w:r>
    </w:p>
    <w:p w:rsidR="00E44495" w:rsidRDefault="00E44495" w:rsidP="00D17146"/>
    <w:p w:rsidR="00E44495" w:rsidRDefault="0092601A" w:rsidP="00D17146">
      <w:r>
        <w:t xml:space="preserve">5.3 </w:t>
      </w:r>
      <w:r w:rsidR="00962C9D">
        <w:t>Personal care (su</w:t>
      </w:r>
      <w:r w:rsidR="005D3187">
        <w:t>ch as visits to the hairdresser</w:t>
      </w:r>
      <w:r w:rsidR="00F357CD">
        <w:t xml:space="preserve">) </w:t>
      </w:r>
      <w:r w:rsidR="00962C9D">
        <w:t xml:space="preserve">was also frequently mentioned, as was the use of domestic help and </w:t>
      </w:r>
      <w:r w:rsidR="00962C9D" w:rsidRPr="00962C9D">
        <w:t>home maintenance</w:t>
      </w:r>
      <w:r w:rsidR="004D32DE">
        <w:t xml:space="preserve"> support</w:t>
      </w:r>
      <w:r w:rsidR="005D3187">
        <w:t xml:space="preserve"> – such as a window cleaner, gardener or help with the housework.</w:t>
      </w:r>
    </w:p>
    <w:p w:rsidR="00E44495" w:rsidRDefault="00E44495" w:rsidP="00D17146"/>
    <w:p w:rsidR="008770CF" w:rsidRDefault="0092601A" w:rsidP="00D17146">
      <w:r>
        <w:lastRenderedPageBreak/>
        <w:t xml:space="preserve">5.4 </w:t>
      </w:r>
      <w:r w:rsidR="00962C9D">
        <w:t>S</w:t>
      </w:r>
      <w:r w:rsidR="00962C9D" w:rsidRPr="00962C9D">
        <w:t>ocial activities (</w:t>
      </w:r>
      <w:r w:rsidR="00962C9D">
        <w:t xml:space="preserve">which help to </w:t>
      </w:r>
      <w:r w:rsidR="00962C9D" w:rsidRPr="00962C9D">
        <w:t>combat loneliness)</w:t>
      </w:r>
      <w:r w:rsidR="004D32DE">
        <w:t xml:space="preserve"> </w:t>
      </w:r>
      <w:r w:rsidR="00E44495">
        <w:t>were mentioned by about half of participants</w:t>
      </w:r>
      <w:r>
        <w:t>, suggesting that some claim</w:t>
      </w:r>
      <w:r w:rsidR="00E44495">
        <w:t xml:space="preserve">ants are more able to take part in leisure activities as a result of </w:t>
      </w:r>
      <w:r w:rsidR="003756DF">
        <w:t xml:space="preserve">receiving </w:t>
      </w:r>
      <w:r w:rsidR="005D3187">
        <w:t>AA</w:t>
      </w:r>
      <w:r w:rsidR="00E44495">
        <w:t xml:space="preserve">. </w:t>
      </w:r>
    </w:p>
    <w:p w:rsidR="002E0DBF" w:rsidRDefault="002E0DBF">
      <w:pPr>
        <w:rPr>
          <w:b/>
        </w:rPr>
      </w:pPr>
      <w:r>
        <w:rPr>
          <w:b/>
        </w:rPr>
        <w:br w:type="page"/>
      </w:r>
    </w:p>
    <w:p w:rsidR="009A5611" w:rsidRDefault="002E0DBF" w:rsidP="00024A25">
      <w:pPr>
        <w:pStyle w:val="Heading2"/>
        <w:rPr>
          <w:sz w:val="32"/>
          <w:szCs w:val="32"/>
        </w:rPr>
      </w:pPr>
      <w:r>
        <w:rPr>
          <w:sz w:val="32"/>
          <w:szCs w:val="32"/>
        </w:rPr>
        <w:lastRenderedPageBreak/>
        <w:t>6</w:t>
      </w:r>
      <w:r w:rsidR="00DC5EE4">
        <w:rPr>
          <w:sz w:val="32"/>
          <w:szCs w:val="32"/>
        </w:rPr>
        <w:t xml:space="preserve">. </w:t>
      </w:r>
      <w:r w:rsidR="009A5611" w:rsidRPr="00024A25">
        <w:rPr>
          <w:sz w:val="32"/>
          <w:szCs w:val="32"/>
        </w:rPr>
        <w:t>Would i</w:t>
      </w:r>
      <w:r>
        <w:rPr>
          <w:sz w:val="32"/>
          <w:szCs w:val="32"/>
        </w:rPr>
        <w:t>t make a difference to claimants’ lives if they</w:t>
      </w:r>
      <w:r w:rsidR="009A5611" w:rsidRPr="00024A25">
        <w:rPr>
          <w:sz w:val="32"/>
          <w:szCs w:val="32"/>
        </w:rPr>
        <w:t xml:space="preserve"> didn’t get A</w:t>
      </w:r>
      <w:r w:rsidR="00A31FBA" w:rsidRPr="00024A25">
        <w:rPr>
          <w:sz w:val="32"/>
          <w:szCs w:val="32"/>
        </w:rPr>
        <w:t>A</w:t>
      </w:r>
      <w:r w:rsidR="009A5611" w:rsidRPr="00024A25">
        <w:rPr>
          <w:sz w:val="32"/>
          <w:szCs w:val="32"/>
        </w:rPr>
        <w:t xml:space="preserve">? </w:t>
      </w:r>
    </w:p>
    <w:p w:rsidR="008770CF" w:rsidRDefault="002E0DBF" w:rsidP="00D17146">
      <w:r>
        <w:t xml:space="preserve">6.1 </w:t>
      </w:r>
      <w:r w:rsidR="008770CF">
        <w:t>The</w:t>
      </w:r>
      <w:r w:rsidR="00CD07BA">
        <w:t xml:space="preserve"> </w:t>
      </w:r>
      <w:r w:rsidR="00F71176">
        <w:t>52</w:t>
      </w:r>
      <w:r w:rsidR="008770CF">
        <w:t xml:space="preserve"> respondents reported unanimously that yes, it would make a difference to their lives not to receive </w:t>
      </w:r>
      <w:r w:rsidR="00A31FBA">
        <w:t>AA</w:t>
      </w:r>
      <w:r w:rsidR="008770CF">
        <w:t>.</w:t>
      </w:r>
      <w:r w:rsidR="007676F2">
        <w:t xml:space="preserve"> Key themes identified were: </w:t>
      </w:r>
    </w:p>
    <w:p w:rsidR="002F6843" w:rsidRDefault="002F6843" w:rsidP="00D17146"/>
    <w:p w:rsidR="002F6843" w:rsidRDefault="007676F2" w:rsidP="00D17146">
      <w:pPr>
        <w:pStyle w:val="ListBullet"/>
        <w:numPr>
          <w:ilvl w:val="0"/>
          <w:numId w:val="0"/>
        </w:numPr>
        <w:tabs>
          <w:tab w:val="clear" w:pos="567"/>
        </w:tabs>
      </w:pPr>
      <w:r w:rsidRPr="007676F2">
        <w:rPr>
          <w:b/>
        </w:rPr>
        <w:t>Not being able to travel</w:t>
      </w:r>
      <w:r>
        <w:t xml:space="preserve">: </w:t>
      </w:r>
      <w:r w:rsidR="0066686D">
        <w:t>Just under a</w:t>
      </w:r>
      <w:r w:rsidR="00CD07BA">
        <w:t xml:space="preserve"> third</w:t>
      </w:r>
      <w:r w:rsidR="002F6843">
        <w:t xml:space="preserve"> </w:t>
      </w:r>
      <w:r w:rsidR="00CD07BA">
        <w:t>of respondents (</w:t>
      </w:r>
      <w:r w:rsidR="0066686D">
        <w:t>n=16</w:t>
      </w:r>
      <w:r w:rsidR="00CD07BA">
        <w:t xml:space="preserve">) </w:t>
      </w:r>
      <w:r w:rsidR="002F6843">
        <w:t>said they would</w:t>
      </w:r>
      <w:r w:rsidR="00647618">
        <w:t xml:space="preserve"> not</w:t>
      </w:r>
      <w:r w:rsidR="00CD07BA">
        <w:t xml:space="preserve"> be able to pay for </w:t>
      </w:r>
      <w:r w:rsidR="002F6843">
        <w:t xml:space="preserve">travel or that </w:t>
      </w:r>
      <w:r w:rsidR="001D6592">
        <w:t>it would make it hard to leave the house</w:t>
      </w:r>
      <w:r w:rsidR="00647618">
        <w:t>.</w:t>
      </w:r>
      <w:r w:rsidR="001D6592">
        <w:t xml:space="preserve"> </w:t>
      </w:r>
      <w:r w:rsidR="00647618">
        <w:t>F</w:t>
      </w:r>
      <w:r w:rsidR="001D6592">
        <w:t>or example</w:t>
      </w:r>
      <w:r w:rsidR="00CD07BA">
        <w:t>:</w:t>
      </w:r>
    </w:p>
    <w:p w:rsidR="00CD07BA" w:rsidRDefault="00CD07BA" w:rsidP="00D17146">
      <w:pPr>
        <w:pStyle w:val="ListBullet"/>
        <w:numPr>
          <w:ilvl w:val="0"/>
          <w:numId w:val="0"/>
        </w:numPr>
        <w:ind w:left="360"/>
      </w:pPr>
    </w:p>
    <w:p w:rsidR="001D6592" w:rsidRPr="007676F2" w:rsidRDefault="001D6592" w:rsidP="007676F2">
      <w:pPr>
        <w:pStyle w:val="Quote"/>
        <w:ind w:left="0" w:firstLine="720"/>
      </w:pPr>
      <w:r w:rsidRPr="007676F2">
        <w:t>“</w:t>
      </w:r>
      <w:r w:rsidR="002E0DBF">
        <w:t>I would be confined to my house</w:t>
      </w:r>
      <w:r w:rsidRPr="007676F2">
        <w:t>”</w:t>
      </w:r>
      <w:r w:rsidR="002E0DBF">
        <w:t>.</w:t>
      </w:r>
      <w:r w:rsidRPr="007676F2">
        <w:t xml:space="preserve"> </w:t>
      </w:r>
      <w:proofErr w:type="gramStart"/>
      <w:r w:rsidR="009D41A7">
        <w:t>Male, 70s</w:t>
      </w:r>
      <w:r w:rsidR="002E0DBF">
        <w:t>.</w:t>
      </w:r>
      <w:proofErr w:type="gramEnd"/>
    </w:p>
    <w:p w:rsidR="001D6592" w:rsidRPr="007676F2" w:rsidRDefault="001D6592" w:rsidP="0005617F">
      <w:pPr>
        <w:pStyle w:val="Quote"/>
        <w:ind w:left="720"/>
      </w:pPr>
    </w:p>
    <w:p w:rsidR="001D6592" w:rsidRPr="007676F2" w:rsidRDefault="001D6592" w:rsidP="007676F2">
      <w:pPr>
        <w:pStyle w:val="Quote"/>
        <w:ind w:left="720"/>
      </w:pPr>
      <w:r w:rsidRPr="007676F2">
        <w:t xml:space="preserve">“The difference would be there </w:t>
      </w:r>
      <w:r w:rsidR="002E0DBF">
        <w:t>would be restrictions on travel</w:t>
      </w:r>
      <w:r w:rsidRPr="007676F2">
        <w:t>”</w:t>
      </w:r>
      <w:r w:rsidR="002E0DBF">
        <w:t>.</w:t>
      </w:r>
      <w:r w:rsidRPr="007676F2">
        <w:t xml:space="preserve"> </w:t>
      </w:r>
      <w:proofErr w:type="gramStart"/>
      <w:r w:rsidR="009D41A7">
        <w:t>Male, 70s</w:t>
      </w:r>
      <w:r w:rsidR="002E0DBF">
        <w:t>.</w:t>
      </w:r>
      <w:proofErr w:type="gramEnd"/>
    </w:p>
    <w:p w:rsidR="0066686D" w:rsidRPr="007676F2" w:rsidRDefault="0066686D" w:rsidP="00C305D6">
      <w:pPr>
        <w:pStyle w:val="Quote"/>
        <w:ind w:left="0"/>
      </w:pPr>
    </w:p>
    <w:p w:rsidR="0066686D" w:rsidRPr="007676F2" w:rsidRDefault="0066686D" w:rsidP="00EA6832">
      <w:pPr>
        <w:pStyle w:val="Quote"/>
        <w:ind w:left="720"/>
      </w:pPr>
      <w:r w:rsidRPr="007676F2">
        <w:t>“Yes it would. I wouldn’t be able to g</w:t>
      </w:r>
      <w:r w:rsidR="002E0DBF">
        <w:t>o out. I would be stuck at home</w:t>
      </w:r>
      <w:r w:rsidRPr="007676F2">
        <w:t>”</w:t>
      </w:r>
      <w:r w:rsidR="002E0DBF">
        <w:t>.</w:t>
      </w:r>
      <w:r w:rsidRPr="007676F2">
        <w:t xml:space="preserve"> </w:t>
      </w:r>
      <w:proofErr w:type="gramStart"/>
      <w:r w:rsidR="009D41A7">
        <w:t>Female</w:t>
      </w:r>
      <w:r w:rsidR="00F22605">
        <w:t>,</w:t>
      </w:r>
      <w:r w:rsidR="009D41A7">
        <w:t xml:space="preserve"> 80s</w:t>
      </w:r>
      <w:r w:rsidR="002E0DBF">
        <w:t>.</w:t>
      </w:r>
      <w:proofErr w:type="gramEnd"/>
      <w:r w:rsidR="009D41A7">
        <w:t xml:space="preserve"> </w:t>
      </w:r>
    </w:p>
    <w:p w:rsidR="00CD07BA" w:rsidRPr="002F6843" w:rsidRDefault="00CD07BA" w:rsidP="00D17146">
      <w:pPr>
        <w:pStyle w:val="Quote"/>
      </w:pPr>
    </w:p>
    <w:p w:rsidR="00CD07BA" w:rsidRDefault="007676F2" w:rsidP="00D17146">
      <w:pPr>
        <w:pStyle w:val="ListBullet"/>
        <w:numPr>
          <w:ilvl w:val="0"/>
          <w:numId w:val="0"/>
        </w:numPr>
      </w:pPr>
      <w:r w:rsidRPr="007676F2">
        <w:rPr>
          <w:b/>
        </w:rPr>
        <w:t>Struggling financially</w:t>
      </w:r>
      <w:r>
        <w:rPr>
          <w:b/>
        </w:rPr>
        <w:t>:</w:t>
      </w:r>
      <w:r>
        <w:t xml:space="preserve"> </w:t>
      </w:r>
      <w:r w:rsidR="0066686D">
        <w:t>Just under a quarter of respondents (n=10</w:t>
      </w:r>
      <w:r w:rsidR="00CD07BA">
        <w:t>) said that they would find life difficult, struggle financially or not be able to pay the bills</w:t>
      </w:r>
      <w:r w:rsidR="00647618">
        <w:t>.</w:t>
      </w:r>
      <w:r w:rsidR="001D6592">
        <w:t xml:space="preserve"> </w:t>
      </w:r>
      <w:r w:rsidR="00647618">
        <w:t>F</w:t>
      </w:r>
      <w:r w:rsidR="001D6592">
        <w:t>or example:</w:t>
      </w:r>
    </w:p>
    <w:p w:rsidR="001D6592" w:rsidRDefault="001D6592" w:rsidP="00D17146">
      <w:pPr>
        <w:pStyle w:val="ListBullet"/>
        <w:numPr>
          <w:ilvl w:val="0"/>
          <w:numId w:val="0"/>
        </w:numPr>
      </w:pPr>
    </w:p>
    <w:p w:rsidR="001D6592" w:rsidRPr="007676F2" w:rsidRDefault="001D6592" w:rsidP="007676F2">
      <w:pPr>
        <w:pStyle w:val="Quote"/>
        <w:ind w:left="720"/>
      </w:pPr>
      <w:r w:rsidRPr="007676F2">
        <w:t>“It would make a difference. I would struggle</w:t>
      </w:r>
      <w:r w:rsidR="002E0DBF">
        <w:t xml:space="preserve"> financially to stay where I am</w:t>
      </w:r>
      <w:r w:rsidRPr="007676F2">
        <w:t>”</w:t>
      </w:r>
      <w:r w:rsidR="002E0DBF">
        <w:t>.</w:t>
      </w:r>
      <w:r w:rsidRPr="007676F2">
        <w:t xml:space="preserve"> </w:t>
      </w:r>
      <w:proofErr w:type="gramStart"/>
      <w:r w:rsidR="00F22605">
        <w:t>Female, 80s</w:t>
      </w:r>
      <w:r w:rsidR="002E0DBF">
        <w:t>.</w:t>
      </w:r>
      <w:proofErr w:type="gramEnd"/>
    </w:p>
    <w:p w:rsidR="001D6592" w:rsidRPr="007676F2" w:rsidRDefault="001D6592" w:rsidP="00D17146">
      <w:pPr>
        <w:pStyle w:val="ListBullet"/>
        <w:numPr>
          <w:ilvl w:val="0"/>
          <w:numId w:val="0"/>
        </w:numPr>
      </w:pPr>
    </w:p>
    <w:p w:rsidR="001D6592" w:rsidRPr="007676F2" w:rsidRDefault="002E0DBF" w:rsidP="007676F2">
      <w:pPr>
        <w:pStyle w:val="Quote"/>
        <w:ind w:left="0" w:firstLine="720"/>
      </w:pPr>
      <w:r>
        <w:t>“We wouldn’t be able to manage</w:t>
      </w:r>
      <w:r w:rsidR="001D6592" w:rsidRPr="007676F2">
        <w:t>”</w:t>
      </w:r>
      <w:r>
        <w:t>.</w:t>
      </w:r>
      <w:r w:rsidR="001D6592" w:rsidRPr="007676F2">
        <w:t xml:space="preserve"> </w:t>
      </w:r>
      <w:proofErr w:type="gramStart"/>
      <w:r w:rsidR="00F22605">
        <w:t>Female, 90+</w:t>
      </w:r>
      <w:r>
        <w:t>.</w:t>
      </w:r>
      <w:proofErr w:type="gramEnd"/>
    </w:p>
    <w:p w:rsidR="001D6592" w:rsidRPr="007676F2" w:rsidRDefault="001D6592" w:rsidP="00C305D6">
      <w:pPr>
        <w:pStyle w:val="Quote"/>
        <w:ind w:left="0"/>
      </w:pPr>
    </w:p>
    <w:p w:rsidR="001D6592" w:rsidRDefault="001D6592" w:rsidP="007676F2">
      <w:pPr>
        <w:pStyle w:val="Quote"/>
        <w:ind w:left="0" w:firstLine="720"/>
      </w:pPr>
      <w:r w:rsidRPr="007676F2">
        <w:t xml:space="preserve">“We </w:t>
      </w:r>
      <w:r w:rsidR="002E0DBF">
        <w:t>would struggle. It helps no end</w:t>
      </w:r>
      <w:r w:rsidRPr="007676F2">
        <w:t>”</w:t>
      </w:r>
      <w:r w:rsidR="002E0DBF">
        <w:t>.</w:t>
      </w:r>
      <w:r w:rsidRPr="007676F2">
        <w:t xml:space="preserve"> </w:t>
      </w:r>
      <w:proofErr w:type="gramStart"/>
      <w:r w:rsidR="00F22605">
        <w:t>Male, 70s</w:t>
      </w:r>
      <w:r w:rsidR="002E0DBF">
        <w:t>.</w:t>
      </w:r>
      <w:proofErr w:type="gramEnd"/>
    </w:p>
    <w:p w:rsidR="001D6592" w:rsidRDefault="001D6592" w:rsidP="00D17146">
      <w:pPr>
        <w:pStyle w:val="ListBullet"/>
        <w:numPr>
          <w:ilvl w:val="0"/>
          <w:numId w:val="0"/>
        </w:numPr>
      </w:pPr>
    </w:p>
    <w:p w:rsidR="002F6843" w:rsidRPr="007676F2" w:rsidRDefault="007676F2" w:rsidP="00D17146">
      <w:pPr>
        <w:pStyle w:val="ListBullet"/>
        <w:numPr>
          <w:ilvl w:val="0"/>
          <w:numId w:val="0"/>
        </w:numPr>
      </w:pPr>
      <w:r w:rsidRPr="007676F2">
        <w:rPr>
          <w:b/>
        </w:rPr>
        <w:t>Not being able to afford support in the home</w:t>
      </w:r>
      <w:r w:rsidRPr="007676F2">
        <w:t xml:space="preserve">: </w:t>
      </w:r>
      <w:r w:rsidR="00E75291" w:rsidRPr="007676F2">
        <w:t>Seven</w:t>
      </w:r>
      <w:r w:rsidR="002F6843" w:rsidRPr="007676F2">
        <w:t xml:space="preserve"> </w:t>
      </w:r>
      <w:r w:rsidR="00CD07BA" w:rsidRPr="007676F2">
        <w:t xml:space="preserve">respondents </w:t>
      </w:r>
      <w:r w:rsidR="002F6843" w:rsidRPr="007676F2">
        <w:t>said that they would</w:t>
      </w:r>
      <w:r w:rsidR="00647618" w:rsidRPr="007676F2">
        <w:t xml:space="preserve"> not</w:t>
      </w:r>
      <w:r w:rsidR="002F6843" w:rsidRPr="007676F2">
        <w:t xml:space="preserve"> be able to afford</w:t>
      </w:r>
      <w:r w:rsidR="001D6592" w:rsidRPr="007676F2">
        <w:t xml:space="preserve"> help in the home</w:t>
      </w:r>
      <w:r w:rsidRPr="007676F2">
        <w:t>, such as a cleaner or gardener</w:t>
      </w:r>
      <w:r w:rsidR="001D6592" w:rsidRPr="007676F2">
        <w:t>:</w:t>
      </w:r>
    </w:p>
    <w:p w:rsidR="001D6592" w:rsidRPr="007676F2" w:rsidRDefault="001D6592" w:rsidP="00D17146">
      <w:pPr>
        <w:pStyle w:val="ListBullet"/>
        <w:numPr>
          <w:ilvl w:val="0"/>
          <w:numId w:val="0"/>
        </w:numPr>
      </w:pPr>
    </w:p>
    <w:p w:rsidR="001D6592" w:rsidRDefault="001D6592" w:rsidP="007676F2">
      <w:pPr>
        <w:pStyle w:val="Quote"/>
        <w:ind w:left="720"/>
      </w:pPr>
      <w:r w:rsidRPr="007676F2">
        <w:t>“I wouldn’t be ab</w:t>
      </w:r>
      <w:r w:rsidR="002E0DBF">
        <w:t>le to pay for people to help me</w:t>
      </w:r>
      <w:r w:rsidR="00E75291" w:rsidRPr="007676F2">
        <w:t>”</w:t>
      </w:r>
      <w:r w:rsidR="002E0DBF">
        <w:t>.</w:t>
      </w:r>
      <w:r w:rsidR="00E75291" w:rsidRPr="007676F2">
        <w:t xml:space="preserve"> </w:t>
      </w:r>
      <w:proofErr w:type="gramStart"/>
      <w:r w:rsidR="00F22605">
        <w:t>Male, 80s</w:t>
      </w:r>
      <w:r w:rsidR="002E0DBF">
        <w:t>.</w:t>
      </w:r>
      <w:proofErr w:type="gramEnd"/>
    </w:p>
    <w:p w:rsidR="00F22605" w:rsidRDefault="00F22605" w:rsidP="007676F2">
      <w:pPr>
        <w:pStyle w:val="Quote"/>
        <w:ind w:left="720"/>
      </w:pPr>
    </w:p>
    <w:p w:rsidR="00F22605" w:rsidRPr="007676F2" w:rsidRDefault="00F22605" w:rsidP="007676F2">
      <w:pPr>
        <w:pStyle w:val="Quote"/>
        <w:ind w:left="720"/>
      </w:pPr>
      <w:r>
        <w:t>“</w:t>
      </w:r>
      <w:r w:rsidRPr="00F22605">
        <w:t>Without the extra support I could not shower, prepare food, and would be at increased danger of falling</w:t>
      </w:r>
      <w:r>
        <w:t>”</w:t>
      </w:r>
      <w:r w:rsidR="002E0DBF">
        <w:t xml:space="preserve">. </w:t>
      </w:r>
      <w:proofErr w:type="gramStart"/>
      <w:r>
        <w:t>Male, 90+</w:t>
      </w:r>
      <w:r w:rsidR="002E0DBF">
        <w:t>.</w:t>
      </w:r>
      <w:proofErr w:type="gramEnd"/>
    </w:p>
    <w:p w:rsidR="001D6592" w:rsidRDefault="001D6592" w:rsidP="00D17146">
      <w:pPr>
        <w:pStyle w:val="ListBullet"/>
        <w:numPr>
          <w:ilvl w:val="0"/>
          <w:numId w:val="0"/>
        </w:numPr>
      </w:pPr>
    </w:p>
    <w:p w:rsidR="00CD07BA" w:rsidRDefault="002E0DBF" w:rsidP="00D17146">
      <w:pPr>
        <w:pStyle w:val="ListBullet"/>
        <w:numPr>
          <w:ilvl w:val="0"/>
          <w:numId w:val="0"/>
        </w:numPr>
      </w:pPr>
      <w:r>
        <w:t xml:space="preserve">6.2 </w:t>
      </w:r>
      <w:r w:rsidR="00CD07BA">
        <w:t>Respondents also mentioned paying for shopping delivery, aids, talking books,</w:t>
      </w:r>
      <w:r w:rsidR="001D6592">
        <w:t xml:space="preserve"> and</w:t>
      </w:r>
      <w:r w:rsidR="00CD07BA">
        <w:t xml:space="preserve"> services such as hairdressers</w:t>
      </w:r>
      <w:r w:rsidR="001D6592">
        <w:t xml:space="preserve">. Some also </w:t>
      </w:r>
      <w:r w:rsidR="001D6592">
        <w:lastRenderedPageBreak/>
        <w:t>made a mo</w:t>
      </w:r>
      <w:r>
        <w:t>re general comment on how they would be affected if they did not</w:t>
      </w:r>
      <w:r w:rsidR="001D6592">
        <w:t xml:space="preserve"> have </w:t>
      </w:r>
      <w:r w:rsidR="00647618">
        <w:t>AA</w:t>
      </w:r>
      <w:r>
        <w:t>, indicating that they would</w:t>
      </w:r>
      <w:r w:rsidR="00DF0F27">
        <w:t xml:space="preserve"> find it difficult to manage</w:t>
      </w:r>
      <w:r w:rsidR="00821EFE">
        <w:t xml:space="preserve">, especially due to limited other income </w:t>
      </w:r>
      <w:r w:rsidR="001D6592">
        <w:t>:</w:t>
      </w:r>
    </w:p>
    <w:p w:rsidR="00DF0F27" w:rsidRDefault="00DF0F27" w:rsidP="00C305D6">
      <w:pPr>
        <w:pStyle w:val="Quote"/>
        <w:ind w:left="0"/>
      </w:pPr>
    </w:p>
    <w:p w:rsidR="001D6592" w:rsidRDefault="00CD07BA" w:rsidP="00F22605">
      <w:pPr>
        <w:pStyle w:val="Quote"/>
        <w:ind w:left="720"/>
      </w:pPr>
      <w:r w:rsidRPr="007676F2">
        <w:t>“</w:t>
      </w:r>
      <w:r w:rsidR="009C0CFA" w:rsidRPr="007676F2">
        <w:t xml:space="preserve">It would be awful. It would be like losing an </w:t>
      </w:r>
      <w:r w:rsidR="002E0DBF">
        <w:t>arm. I would miss it enormously</w:t>
      </w:r>
      <w:r w:rsidRPr="007676F2">
        <w:t>”</w:t>
      </w:r>
      <w:r w:rsidR="002E0DBF">
        <w:t>.</w:t>
      </w:r>
      <w:r w:rsidRPr="007676F2">
        <w:t xml:space="preserve"> </w:t>
      </w:r>
      <w:proofErr w:type="gramStart"/>
      <w:r w:rsidR="00F22605">
        <w:t>Male, 80s</w:t>
      </w:r>
      <w:r w:rsidR="002E0DBF">
        <w:t>.</w:t>
      </w:r>
      <w:proofErr w:type="gramEnd"/>
    </w:p>
    <w:p w:rsidR="00F22605" w:rsidRPr="007676F2" w:rsidRDefault="00F22605" w:rsidP="00F22605">
      <w:pPr>
        <w:pStyle w:val="Quote"/>
        <w:ind w:left="720"/>
      </w:pPr>
    </w:p>
    <w:p w:rsidR="002E5B05" w:rsidRPr="007676F2" w:rsidRDefault="001D6592" w:rsidP="007676F2">
      <w:pPr>
        <w:pStyle w:val="Quote"/>
        <w:ind w:left="720"/>
      </w:pPr>
      <w:proofErr w:type="gramStart"/>
      <w:r w:rsidRPr="007676F2">
        <w:t>“</w:t>
      </w:r>
      <w:r w:rsidR="009C0CFA" w:rsidRPr="007676F2">
        <w:t>An enormous difference.</w:t>
      </w:r>
      <w:proofErr w:type="gramEnd"/>
      <w:r w:rsidR="009C0CFA" w:rsidRPr="007676F2">
        <w:t xml:space="preserve"> </w:t>
      </w:r>
      <w:proofErr w:type="gramStart"/>
      <w:r w:rsidR="009C0CFA" w:rsidRPr="007676F2">
        <w:t>Independ</w:t>
      </w:r>
      <w:r w:rsidR="002E0DBF">
        <w:t>ence, making your own decisions</w:t>
      </w:r>
      <w:r w:rsidRPr="007676F2">
        <w:t>”</w:t>
      </w:r>
      <w:r w:rsidR="002E0DBF">
        <w:t>.</w:t>
      </w:r>
      <w:proofErr w:type="gramEnd"/>
      <w:r w:rsidRPr="007676F2">
        <w:t xml:space="preserve"> </w:t>
      </w:r>
      <w:proofErr w:type="gramStart"/>
      <w:r w:rsidR="00F22605">
        <w:t>Female, 70s</w:t>
      </w:r>
      <w:r w:rsidR="002E0DBF">
        <w:t>.</w:t>
      </w:r>
      <w:proofErr w:type="gramEnd"/>
    </w:p>
    <w:p w:rsidR="00821EFE" w:rsidRPr="007676F2" w:rsidRDefault="00821EFE" w:rsidP="00C305D6">
      <w:pPr>
        <w:pStyle w:val="Quote"/>
        <w:ind w:left="0"/>
      </w:pPr>
    </w:p>
    <w:p w:rsidR="00821EFE" w:rsidRPr="007676F2" w:rsidRDefault="00821EFE" w:rsidP="007676F2">
      <w:pPr>
        <w:pStyle w:val="Quote"/>
        <w:ind w:left="720"/>
      </w:pPr>
      <w:r w:rsidRPr="007676F2">
        <w:t>“A great deal</w:t>
      </w:r>
      <w:r w:rsidR="002E0DBF">
        <w:t>,</w:t>
      </w:r>
      <w:r w:rsidRPr="007676F2">
        <w:t xml:space="preserve"> as I do not have a large pension”</w:t>
      </w:r>
      <w:r w:rsidR="002E0DBF">
        <w:t>.</w:t>
      </w:r>
      <w:r w:rsidRPr="007676F2">
        <w:t xml:space="preserve"> </w:t>
      </w:r>
      <w:proofErr w:type="gramStart"/>
      <w:r w:rsidR="0036581C">
        <w:t>Female, 70s</w:t>
      </w:r>
      <w:r w:rsidR="002E0DBF">
        <w:t>.</w:t>
      </w:r>
      <w:proofErr w:type="gramEnd"/>
    </w:p>
    <w:p w:rsidR="00F71176" w:rsidRDefault="00F71176" w:rsidP="00D17146">
      <w:pPr>
        <w:ind w:left="1440" w:hanging="1440"/>
      </w:pPr>
    </w:p>
    <w:p w:rsidR="002E0DBF" w:rsidRDefault="002E0DBF" w:rsidP="00D17146">
      <w:pPr>
        <w:ind w:left="1440" w:hanging="1440"/>
      </w:pPr>
      <w:r>
        <w:t>6.3 Just under a fifth of respondents still struggled to make ends</w:t>
      </w:r>
    </w:p>
    <w:p w:rsidR="002E0DBF" w:rsidRDefault="002E0DBF" w:rsidP="00DD4189">
      <w:proofErr w:type="gramStart"/>
      <w:r>
        <w:t>meet</w:t>
      </w:r>
      <w:proofErr w:type="gramEnd"/>
      <w:r>
        <w:t>, even with the receipt of AA.</w:t>
      </w:r>
    </w:p>
    <w:p w:rsidR="002E0DBF" w:rsidRDefault="002E0DBF" w:rsidP="00D17146">
      <w:pPr>
        <w:ind w:left="1440" w:hanging="1440"/>
      </w:pPr>
    </w:p>
    <w:p w:rsidR="009A5611" w:rsidRPr="00BA3D41" w:rsidRDefault="009A5611" w:rsidP="007676F2">
      <w:pPr>
        <w:rPr>
          <w:b/>
        </w:rPr>
      </w:pPr>
      <w:r w:rsidRPr="00BA3D41">
        <w:rPr>
          <w:b/>
        </w:rPr>
        <w:t xml:space="preserve">Table </w:t>
      </w:r>
      <w:r>
        <w:rPr>
          <w:b/>
        </w:rPr>
        <w:t>11:</w:t>
      </w:r>
      <w:r>
        <w:rPr>
          <w:b/>
        </w:rPr>
        <w:tab/>
        <w:t>Even with the receipt of A</w:t>
      </w:r>
      <w:r w:rsidR="000A44ED">
        <w:rPr>
          <w:b/>
        </w:rPr>
        <w:t>A</w:t>
      </w:r>
      <w:r>
        <w:rPr>
          <w:b/>
        </w:rPr>
        <w:t>, do you struggle to make ends meet?</w:t>
      </w:r>
      <w:r w:rsidR="00AC643E">
        <w:rPr>
          <w:b/>
        </w:rPr>
        <w:t xml:space="preserve"> </w:t>
      </w:r>
    </w:p>
    <w:p w:rsidR="009A5611" w:rsidRDefault="009A5611" w:rsidP="00D17146"/>
    <w:tbl>
      <w:tblPr>
        <w:tblStyle w:val="TableGrid"/>
        <w:tblW w:w="0" w:type="auto"/>
        <w:tblLook w:val="04A0"/>
      </w:tblPr>
      <w:tblGrid>
        <w:gridCol w:w="2840"/>
        <w:gridCol w:w="2841"/>
        <w:gridCol w:w="2841"/>
      </w:tblGrid>
      <w:tr w:rsidR="00375231" w:rsidTr="00D1781B">
        <w:tc>
          <w:tcPr>
            <w:tcW w:w="2840" w:type="dxa"/>
          </w:tcPr>
          <w:p w:rsidR="00375231" w:rsidRPr="005F302F" w:rsidRDefault="00375231" w:rsidP="00D17146"/>
        </w:tc>
        <w:tc>
          <w:tcPr>
            <w:tcW w:w="2841" w:type="dxa"/>
          </w:tcPr>
          <w:p w:rsidR="00375231" w:rsidRDefault="00375231" w:rsidP="00F71176">
            <w:r>
              <w:t>Number of respondents (n=</w:t>
            </w:r>
            <w:r w:rsidR="00F71176">
              <w:t>52</w:t>
            </w:r>
            <w:r>
              <w:t>)</w:t>
            </w:r>
          </w:p>
        </w:tc>
        <w:tc>
          <w:tcPr>
            <w:tcW w:w="2841" w:type="dxa"/>
          </w:tcPr>
          <w:p w:rsidR="00375231" w:rsidRDefault="00375231" w:rsidP="00D17146">
            <w:r>
              <w:t>Percentage of respondents</w:t>
            </w:r>
          </w:p>
        </w:tc>
      </w:tr>
      <w:tr w:rsidR="009A5611" w:rsidTr="0093566C">
        <w:trPr>
          <w:trHeight w:val="153"/>
        </w:trPr>
        <w:tc>
          <w:tcPr>
            <w:tcW w:w="2840" w:type="dxa"/>
          </w:tcPr>
          <w:p w:rsidR="009A5611" w:rsidRDefault="009A5611" w:rsidP="00D17146">
            <w:r>
              <w:t>Yes</w:t>
            </w:r>
          </w:p>
        </w:tc>
        <w:tc>
          <w:tcPr>
            <w:tcW w:w="2841" w:type="dxa"/>
          </w:tcPr>
          <w:p w:rsidR="009A5611" w:rsidRDefault="009C0CFA" w:rsidP="00D17146">
            <w:r>
              <w:t>10</w:t>
            </w:r>
          </w:p>
        </w:tc>
        <w:tc>
          <w:tcPr>
            <w:tcW w:w="2841" w:type="dxa"/>
          </w:tcPr>
          <w:p w:rsidR="009A5611" w:rsidRDefault="0093566C" w:rsidP="00D17146">
            <w:r>
              <w:t>19</w:t>
            </w:r>
          </w:p>
        </w:tc>
      </w:tr>
      <w:tr w:rsidR="009A5611" w:rsidTr="00D1781B">
        <w:tc>
          <w:tcPr>
            <w:tcW w:w="2840" w:type="dxa"/>
          </w:tcPr>
          <w:p w:rsidR="009A5611" w:rsidRDefault="009A5611" w:rsidP="00D17146">
            <w:r>
              <w:t xml:space="preserve">No </w:t>
            </w:r>
          </w:p>
        </w:tc>
        <w:tc>
          <w:tcPr>
            <w:tcW w:w="2841" w:type="dxa"/>
          </w:tcPr>
          <w:p w:rsidR="009A5611" w:rsidRDefault="00F71176" w:rsidP="00D17146">
            <w:r>
              <w:t>39</w:t>
            </w:r>
          </w:p>
        </w:tc>
        <w:tc>
          <w:tcPr>
            <w:tcW w:w="2841" w:type="dxa"/>
          </w:tcPr>
          <w:p w:rsidR="009A5611" w:rsidRDefault="0093566C" w:rsidP="00D17146">
            <w:r>
              <w:t>75</w:t>
            </w:r>
          </w:p>
        </w:tc>
      </w:tr>
      <w:tr w:rsidR="0093566C" w:rsidTr="00D1781B">
        <w:tc>
          <w:tcPr>
            <w:tcW w:w="2840" w:type="dxa"/>
          </w:tcPr>
          <w:p w:rsidR="0093566C" w:rsidRDefault="0093566C" w:rsidP="00D17146">
            <w:r>
              <w:t xml:space="preserve">Prefer not to answer </w:t>
            </w:r>
          </w:p>
        </w:tc>
        <w:tc>
          <w:tcPr>
            <w:tcW w:w="2841" w:type="dxa"/>
          </w:tcPr>
          <w:p w:rsidR="0093566C" w:rsidRDefault="0093566C" w:rsidP="00D17146">
            <w:r>
              <w:t>1</w:t>
            </w:r>
          </w:p>
        </w:tc>
        <w:tc>
          <w:tcPr>
            <w:tcW w:w="2841" w:type="dxa"/>
          </w:tcPr>
          <w:p w:rsidR="0093566C" w:rsidRDefault="0093566C" w:rsidP="00D17146">
            <w:r>
              <w:t>2</w:t>
            </w:r>
          </w:p>
        </w:tc>
      </w:tr>
      <w:tr w:rsidR="0093566C" w:rsidTr="00D1781B">
        <w:tc>
          <w:tcPr>
            <w:tcW w:w="2840" w:type="dxa"/>
          </w:tcPr>
          <w:p w:rsidR="0093566C" w:rsidRDefault="0093566C" w:rsidP="00D17146">
            <w:r>
              <w:t xml:space="preserve">Don’t know </w:t>
            </w:r>
          </w:p>
        </w:tc>
        <w:tc>
          <w:tcPr>
            <w:tcW w:w="2841" w:type="dxa"/>
          </w:tcPr>
          <w:p w:rsidR="0093566C" w:rsidRDefault="0093566C" w:rsidP="00D17146">
            <w:r>
              <w:t>2</w:t>
            </w:r>
          </w:p>
        </w:tc>
        <w:tc>
          <w:tcPr>
            <w:tcW w:w="2841" w:type="dxa"/>
          </w:tcPr>
          <w:p w:rsidR="0093566C" w:rsidRDefault="0093566C" w:rsidP="00D17146">
            <w:r>
              <w:t>4</w:t>
            </w:r>
          </w:p>
        </w:tc>
      </w:tr>
    </w:tbl>
    <w:p w:rsidR="00F71176" w:rsidRDefault="00F71176" w:rsidP="00D17146">
      <w:pPr>
        <w:pStyle w:val="Heading2"/>
        <w:rPr>
          <w:sz w:val="32"/>
          <w:szCs w:val="32"/>
        </w:rPr>
      </w:pPr>
    </w:p>
    <w:p w:rsidR="00DD4189" w:rsidRDefault="00DD4189">
      <w:r>
        <w:br w:type="page"/>
      </w:r>
    </w:p>
    <w:p w:rsidR="00745EB8" w:rsidRPr="00024A25" w:rsidRDefault="00AA40A3" w:rsidP="00D17146">
      <w:pPr>
        <w:pStyle w:val="Heading2"/>
        <w:rPr>
          <w:sz w:val="32"/>
          <w:szCs w:val="32"/>
        </w:rPr>
      </w:pPr>
      <w:r>
        <w:rPr>
          <w:sz w:val="32"/>
          <w:szCs w:val="32"/>
        </w:rPr>
        <w:lastRenderedPageBreak/>
        <w:t>7</w:t>
      </w:r>
      <w:r w:rsidR="00DC5EE4" w:rsidRPr="005D3187">
        <w:rPr>
          <w:sz w:val="32"/>
          <w:szCs w:val="32"/>
        </w:rPr>
        <w:t xml:space="preserve">. </w:t>
      </w:r>
      <w:r w:rsidR="00745EB8" w:rsidRPr="005D3187">
        <w:rPr>
          <w:sz w:val="32"/>
          <w:szCs w:val="32"/>
        </w:rPr>
        <w:t>Conclusion</w:t>
      </w:r>
      <w:r w:rsidR="00024A25" w:rsidRPr="005D3187">
        <w:rPr>
          <w:sz w:val="32"/>
          <w:szCs w:val="32"/>
        </w:rPr>
        <w:t>s</w:t>
      </w:r>
      <w:r w:rsidR="00DD4189">
        <w:rPr>
          <w:sz w:val="32"/>
          <w:szCs w:val="32"/>
        </w:rPr>
        <w:t xml:space="preserve"> and comments</w:t>
      </w:r>
    </w:p>
    <w:p w:rsidR="00CD7F37" w:rsidRDefault="00AA40A3" w:rsidP="00D17146">
      <w:r>
        <w:t>7</w:t>
      </w:r>
      <w:r w:rsidR="00AB0025">
        <w:t xml:space="preserve">.1 </w:t>
      </w:r>
      <w:r w:rsidR="005D3187">
        <w:t xml:space="preserve">This </w:t>
      </w:r>
      <w:r w:rsidR="00EA7820">
        <w:t>report points strongly towards similar conclusions to those reached by the 2009 research. AA is used by blind and partially sighted people for practical purposes that promote independent living in the community.</w:t>
      </w:r>
    </w:p>
    <w:p w:rsidR="00CD7F37" w:rsidRDefault="00CD7F37" w:rsidP="00D17146"/>
    <w:p w:rsidR="00CD7F37" w:rsidRDefault="00AA40A3" w:rsidP="00D17146">
      <w:r>
        <w:t>7</w:t>
      </w:r>
      <w:r w:rsidR="00CD7F37">
        <w:t>.2</w:t>
      </w:r>
      <w:r w:rsidR="00263B65">
        <w:t xml:space="preserve"> For example, </w:t>
      </w:r>
      <w:r w:rsidR="00263B65" w:rsidRPr="00263B65">
        <w:t xml:space="preserve">if </w:t>
      </w:r>
      <w:r w:rsidR="00263B65">
        <w:t xml:space="preserve">people </w:t>
      </w:r>
      <w:r w:rsidR="00CD7F37">
        <w:t>cannot</w:t>
      </w:r>
      <w:r w:rsidR="00263B65" w:rsidRPr="00263B65">
        <w:t xml:space="preserve"> </w:t>
      </w:r>
      <w:r w:rsidR="00FA550D">
        <w:t xml:space="preserve">participate in </w:t>
      </w:r>
      <w:r w:rsidR="00263B65" w:rsidRPr="00263B65">
        <w:t>leisure activities</w:t>
      </w:r>
      <w:r w:rsidR="00263B65">
        <w:t xml:space="preserve"> then</w:t>
      </w:r>
      <w:r w:rsidR="00263B65" w:rsidRPr="00263B65">
        <w:t xml:space="preserve"> </w:t>
      </w:r>
      <w:r w:rsidR="00FA550D">
        <w:t xml:space="preserve">they may </w:t>
      </w:r>
      <w:r w:rsidR="00CD7F37">
        <w:t xml:space="preserve">be </w:t>
      </w:r>
      <w:r w:rsidR="00FA550D">
        <w:t xml:space="preserve">at risk of isolation, </w:t>
      </w:r>
      <w:r w:rsidR="00263B65">
        <w:t xml:space="preserve">which </w:t>
      </w:r>
      <w:r w:rsidR="00FA550D">
        <w:t xml:space="preserve">in turn </w:t>
      </w:r>
      <w:r w:rsidR="00263B65">
        <w:t>potentially increases the</w:t>
      </w:r>
      <w:r w:rsidR="00787AFD">
        <w:t xml:space="preserve"> risk of depression</w:t>
      </w:r>
      <w:r w:rsidR="00052BC4">
        <w:t xml:space="preserve">. </w:t>
      </w:r>
    </w:p>
    <w:p w:rsidR="00CD7F37" w:rsidRDefault="00CD7F37" w:rsidP="00D17146"/>
    <w:p w:rsidR="00CD7F37" w:rsidRDefault="00AA40A3" w:rsidP="00D17146">
      <w:r>
        <w:t>7</w:t>
      </w:r>
      <w:r w:rsidR="00CD7F37">
        <w:t xml:space="preserve">.3 </w:t>
      </w:r>
      <w:r w:rsidR="00052BC4">
        <w:t>Similarly, if</w:t>
      </w:r>
      <w:r w:rsidR="00263B65">
        <w:t xml:space="preserve"> people </w:t>
      </w:r>
      <w:r w:rsidR="00CD7F37">
        <w:t>are un</w:t>
      </w:r>
      <w:r w:rsidR="00263B65">
        <w:t xml:space="preserve">able to </w:t>
      </w:r>
      <w:r w:rsidR="00CD7F37">
        <w:t xml:space="preserve">travel to their hospital or </w:t>
      </w:r>
      <w:r w:rsidR="00263B65">
        <w:t>doctor</w:t>
      </w:r>
      <w:r w:rsidR="00CD7F37">
        <w:t>’</w:t>
      </w:r>
      <w:r w:rsidR="00263B65">
        <w:t>s appointments</w:t>
      </w:r>
      <w:r w:rsidR="00CD7F37">
        <w:t>,</w:t>
      </w:r>
      <w:r w:rsidR="00263B65">
        <w:t xml:space="preserve"> then they may be unnecessarily placing their health</w:t>
      </w:r>
      <w:r w:rsidR="00CD7F37">
        <w:t xml:space="preserve"> or </w:t>
      </w:r>
      <w:r w:rsidR="00787AFD">
        <w:t>treatment</w:t>
      </w:r>
      <w:r w:rsidR="00263B65">
        <w:t xml:space="preserve"> at risk. </w:t>
      </w:r>
    </w:p>
    <w:p w:rsidR="00CD7F37" w:rsidRDefault="00CD7F37" w:rsidP="00D17146"/>
    <w:p w:rsidR="00CD7F37" w:rsidRDefault="00AA40A3" w:rsidP="00D17146">
      <w:r>
        <w:t>7</w:t>
      </w:r>
      <w:r w:rsidR="00CD7F37">
        <w:t>.4 Or inability to afford home maintenance may create or hasten the need for residential care.</w:t>
      </w:r>
    </w:p>
    <w:p w:rsidR="00CD7F37" w:rsidRDefault="00CD7F37" w:rsidP="00D17146"/>
    <w:p w:rsidR="00745EB8" w:rsidRDefault="00AA40A3" w:rsidP="00D17146">
      <w:r>
        <w:t>7</w:t>
      </w:r>
      <w:r w:rsidR="00CD7F37">
        <w:t xml:space="preserve">.5 </w:t>
      </w:r>
      <w:r w:rsidR="00787AFD">
        <w:t xml:space="preserve">Many participants </w:t>
      </w:r>
      <w:r w:rsidR="00EC6FCB">
        <w:t xml:space="preserve">also </w:t>
      </w:r>
      <w:r w:rsidR="00787AFD">
        <w:t>indicated that would stru</w:t>
      </w:r>
      <w:r w:rsidR="00CD7F37">
        <w:t xml:space="preserve">ggle to pay their bills </w:t>
      </w:r>
      <w:r w:rsidR="00EC6FCB">
        <w:t>without AA</w:t>
      </w:r>
      <w:r w:rsidR="00787AFD">
        <w:t>.</w:t>
      </w:r>
    </w:p>
    <w:p w:rsidR="00EA7820" w:rsidRDefault="00EA7820" w:rsidP="00D17146"/>
    <w:p w:rsidR="00EA7820" w:rsidRDefault="00AA40A3" w:rsidP="00D17146">
      <w:pPr>
        <w:rPr>
          <w:rFonts w:cs="Arial"/>
          <w:szCs w:val="28"/>
        </w:rPr>
      </w:pPr>
      <w:r>
        <w:t>7</w:t>
      </w:r>
      <w:r w:rsidR="00CD7F37">
        <w:t>.6</w:t>
      </w:r>
      <w:r w:rsidR="00AB0025">
        <w:t xml:space="preserve"> </w:t>
      </w:r>
      <w:r w:rsidR="00EA7820">
        <w:t xml:space="preserve">Correspondingly, the loss of AA for future claimants and the substitution of </w:t>
      </w:r>
      <w:r w:rsidR="00EA7820">
        <w:rPr>
          <w:rFonts w:cs="Arial"/>
          <w:szCs w:val="28"/>
        </w:rPr>
        <w:t>cash-limited, rationed options through social care would not be expected to lead to an effective alterna</w:t>
      </w:r>
      <w:r>
        <w:rPr>
          <w:rFonts w:cs="Arial"/>
          <w:szCs w:val="28"/>
        </w:rPr>
        <w:t>tive system, given the limited social s</w:t>
      </w:r>
      <w:r w:rsidR="00EA7820">
        <w:rPr>
          <w:rFonts w:cs="Arial"/>
          <w:szCs w:val="28"/>
        </w:rPr>
        <w:t>ervices role found both in our research and the wider evidence</w:t>
      </w:r>
      <w:r w:rsidR="00AB0025">
        <w:rPr>
          <w:rFonts w:cs="Arial"/>
          <w:szCs w:val="28"/>
        </w:rPr>
        <w:t xml:space="preserve"> [note </w:t>
      </w:r>
      <w:r w:rsidR="002E358F">
        <w:rPr>
          <w:rFonts w:cs="Arial"/>
          <w:szCs w:val="28"/>
        </w:rPr>
        <w:t>6</w:t>
      </w:r>
      <w:r w:rsidR="00DC5EE4">
        <w:rPr>
          <w:rFonts w:cs="Arial"/>
          <w:szCs w:val="28"/>
        </w:rPr>
        <w:t>]</w:t>
      </w:r>
      <w:r w:rsidR="00AB0025">
        <w:rPr>
          <w:rFonts w:cs="Arial"/>
          <w:szCs w:val="28"/>
        </w:rPr>
        <w:t>.</w:t>
      </w:r>
      <w:r w:rsidR="00CD7F37">
        <w:rPr>
          <w:rFonts w:cs="Arial"/>
          <w:szCs w:val="28"/>
        </w:rPr>
        <w:t xml:space="preserve"> Social care spending has increasingly focused on the most severe disabilities, not upon the wider role of supporting independent living in the community and (given the pressures on local authority finances) </w:t>
      </w:r>
      <w:r w:rsidR="0030333A">
        <w:rPr>
          <w:rFonts w:cs="Arial"/>
          <w:szCs w:val="28"/>
        </w:rPr>
        <w:t>there is no reason to suppose that this would change.</w:t>
      </w:r>
    </w:p>
    <w:p w:rsidR="00EA7820" w:rsidRDefault="00EA7820" w:rsidP="00D17146">
      <w:pPr>
        <w:rPr>
          <w:rFonts w:cs="Arial"/>
          <w:szCs w:val="28"/>
        </w:rPr>
      </w:pPr>
    </w:p>
    <w:p w:rsidR="00EA7820" w:rsidRDefault="00AA40A3" w:rsidP="00D17146">
      <w:pPr>
        <w:rPr>
          <w:rFonts w:cs="Arial"/>
          <w:szCs w:val="28"/>
        </w:rPr>
      </w:pPr>
      <w:r>
        <w:rPr>
          <w:rFonts w:cs="Arial"/>
          <w:szCs w:val="28"/>
        </w:rPr>
        <w:t>7</w:t>
      </w:r>
      <w:r w:rsidR="00CD7F37">
        <w:rPr>
          <w:rFonts w:cs="Arial"/>
          <w:szCs w:val="28"/>
        </w:rPr>
        <w:t>.7</w:t>
      </w:r>
      <w:r w:rsidR="00AB0025">
        <w:rPr>
          <w:rFonts w:cs="Arial"/>
          <w:szCs w:val="28"/>
        </w:rPr>
        <w:t xml:space="preserve"> </w:t>
      </w:r>
      <w:r>
        <w:rPr>
          <w:rFonts w:cs="Arial"/>
          <w:szCs w:val="28"/>
        </w:rPr>
        <w:t>The proposed change</w:t>
      </w:r>
      <w:r w:rsidR="00EA7820">
        <w:rPr>
          <w:rFonts w:cs="Arial"/>
          <w:szCs w:val="28"/>
        </w:rPr>
        <w:t xml:space="preserve"> would </w:t>
      </w:r>
      <w:r>
        <w:rPr>
          <w:rFonts w:cs="Arial"/>
          <w:szCs w:val="28"/>
        </w:rPr>
        <w:t xml:space="preserve">therefore have </w:t>
      </w:r>
      <w:r w:rsidR="00EA7820">
        <w:rPr>
          <w:rFonts w:cs="Arial"/>
          <w:szCs w:val="28"/>
        </w:rPr>
        <w:t>amount</w:t>
      </w:r>
      <w:r>
        <w:rPr>
          <w:rFonts w:cs="Arial"/>
          <w:szCs w:val="28"/>
        </w:rPr>
        <w:t>ed</w:t>
      </w:r>
      <w:r w:rsidR="00EA7820">
        <w:rPr>
          <w:rFonts w:cs="Arial"/>
          <w:szCs w:val="28"/>
        </w:rPr>
        <w:t xml:space="preserve"> to a major setback for independent living on the part of older disabled people, would probably affect those with visual impairments disproportionately (as they tend to be particularly marginalised by social care rationing)</w:t>
      </w:r>
      <w:r w:rsidR="002E358F">
        <w:rPr>
          <w:rFonts w:cs="Arial"/>
          <w:szCs w:val="28"/>
        </w:rPr>
        <w:t xml:space="preserve"> [note 7</w:t>
      </w:r>
      <w:r w:rsidR="009F1ABE">
        <w:rPr>
          <w:rFonts w:cs="Arial"/>
          <w:szCs w:val="28"/>
        </w:rPr>
        <w:t>]</w:t>
      </w:r>
      <w:r w:rsidR="00EA7820">
        <w:rPr>
          <w:rFonts w:cs="Arial"/>
          <w:szCs w:val="28"/>
        </w:rPr>
        <w:t xml:space="preserve"> and could only </w:t>
      </w:r>
      <w:r>
        <w:rPr>
          <w:rFonts w:cs="Arial"/>
          <w:szCs w:val="28"/>
        </w:rPr>
        <w:t xml:space="preserve">have </w:t>
      </w:r>
      <w:r w:rsidR="00EA7820">
        <w:rPr>
          <w:rFonts w:cs="Arial"/>
          <w:szCs w:val="28"/>
        </w:rPr>
        <w:t>exacerbate</w:t>
      </w:r>
      <w:r>
        <w:rPr>
          <w:rFonts w:cs="Arial"/>
          <w:szCs w:val="28"/>
        </w:rPr>
        <w:t>d</w:t>
      </w:r>
      <w:r w:rsidR="00EA7820">
        <w:rPr>
          <w:rFonts w:cs="Arial"/>
          <w:szCs w:val="28"/>
        </w:rPr>
        <w:t xml:space="preserve"> the overload on more intensi</w:t>
      </w:r>
      <w:r w:rsidR="0030333A">
        <w:rPr>
          <w:rFonts w:cs="Arial"/>
          <w:szCs w:val="28"/>
        </w:rPr>
        <w:t>ve forms of social care support and on the National Health Service.</w:t>
      </w:r>
    </w:p>
    <w:p w:rsidR="00B14B3B" w:rsidRDefault="00B14B3B" w:rsidP="00D17146">
      <w:pPr>
        <w:rPr>
          <w:rFonts w:cs="Arial"/>
          <w:szCs w:val="28"/>
        </w:rPr>
      </w:pPr>
    </w:p>
    <w:p w:rsidR="00B14B3B" w:rsidRDefault="00AA40A3" w:rsidP="00D17146">
      <w:pPr>
        <w:rPr>
          <w:rFonts w:cs="Arial"/>
          <w:szCs w:val="28"/>
        </w:rPr>
      </w:pPr>
      <w:r>
        <w:rPr>
          <w:rFonts w:cs="Arial"/>
          <w:szCs w:val="28"/>
        </w:rPr>
        <w:t>7</w:t>
      </w:r>
      <w:r w:rsidR="00B14B3B">
        <w:rPr>
          <w:rFonts w:cs="Arial"/>
          <w:szCs w:val="28"/>
        </w:rPr>
        <w:t xml:space="preserve">.8 </w:t>
      </w:r>
      <w:r>
        <w:rPr>
          <w:rFonts w:cs="Arial"/>
          <w:szCs w:val="28"/>
        </w:rPr>
        <w:t>As noted in section 1 above, the decision not to proceed with that proposal has consequently been widely welcomed.</w:t>
      </w:r>
    </w:p>
    <w:p w:rsidR="0003418F" w:rsidRDefault="0003418F" w:rsidP="00D17146">
      <w:pPr>
        <w:rPr>
          <w:rFonts w:cs="Arial"/>
          <w:szCs w:val="28"/>
        </w:rPr>
      </w:pPr>
    </w:p>
    <w:p w:rsidR="00B14B3B" w:rsidRDefault="00B14B3B" w:rsidP="00D17146">
      <w:pPr>
        <w:rPr>
          <w:rFonts w:cs="Arial"/>
          <w:szCs w:val="28"/>
        </w:rPr>
      </w:pPr>
    </w:p>
    <w:p w:rsidR="00B14B3B" w:rsidRPr="00024A25" w:rsidRDefault="00B14B3B" w:rsidP="00B14B3B">
      <w:pPr>
        <w:pStyle w:val="Heading2"/>
        <w:rPr>
          <w:sz w:val="32"/>
          <w:szCs w:val="32"/>
        </w:rPr>
      </w:pPr>
      <w:r w:rsidRPr="00024A25">
        <w:rPr>
          <w:sz w:val="32"/>
          <w:szCs w:val="32"/>
        </w:rPr>
        <w:lastRenderedPageBreak/>
        <w:t>Notes</w:t>
      </w:r>
    </w:p>
    <w:p w:rsidR="00B14B3B" w:rsidRDefault="00B14B3B" w:rsidP="00B14B3B">
      <w:r>
        <w:rPr>
          <w:szCs w:val="28"/>
        </w:rPr>
        <w:t xml:space="preserve">1. </w:t>
      </w:r>
      <w:r w:rsidRPr="009C2D1E">
        <w:rPr>
          <w:b/>
          <w:szCs w:val="28"/>
        </w:rPr>
        <w:t>The provisional Local Government Finance Settlement 2016-17 and an offer to councils for future years – consultation</w:t>
      </w:r>
      <w:r>
        <w:rPr>
          <w:szCs w:val="28"/>
        </w:rPr>
        <w:t xml:space="preserve">, </w:t>
      </w:r>
      <w:r w:rsidRPr="002A33EE">
        <w:rPr>
          <w:szCs w:val="28"/>
        </w:rPr>
        <w:t>Department for Comm</w:t>
      </w:r>
      <w:r>
        <w:rPr>
          <w:szCs w:val="28"/>
        </w:rPr>
        <w:t>unities &amp; Local Government, December 2015</w:t>
      </w:r>
      <w:r w:rsidRPr="002A33EE">
        <w:rPr>
          <w:szCs w:val="28"/>
        </w:rPr>
        <w:t>, p</w:t>
      </w:r>
      <w:r>
        <w:rPr>
          <w:szCs w:val="28"/>
        </w:rPr>
        <w:t>ara</w:t>
      </w:r>
      <w:r w:rsidRPr="002A33EE">
        <w:rPr>
          <w:szCs w:val="28"/>
        </w:rPr>
        <w:t>.1</w:t>
      </w:r>
      <w:r>
        <w:rPr>
          <w:szCs w:val="28"/>
        </w:rPr>
        <w:t>.4</w:t>
      </w:r>
      <w:r w:rsidRPr="002A33EE">
        <w:rPr>
          <w:szCs w:val="28"/>
        </w:rPr>
        <w:t>.</w:t>
      </w:r>
      <w:r>
        <w:rPr>
          <w:szCs w:val="28"/>
        </w:rPr>
        <w:t xml:space="preserve"> </w:t>
      </w:r>
    </w:p>
    <w:p w:rsidR="00B14B3B" w:rsidRDefault="00B14B3B" w:rsidP="00B14B3B"/>
    <w:p w:rsidR="00B14B3B" w:rsidRDefault="00B14B3B" w:rsidP="00B14B3B">
      <w:pPr>
        <w:rPr>
          <w:szCs w:val="28"/>
        </w:rPr>
      </w:pPr>
      <w:r>
        <w:t xml:space="preserve">2. </w:t>
      </w:r>
      <w:r w:rsidRPr="00314893">
        <w:rPr>
          <w:b/>
          <w:szCs w:val="28"/>
        </w:rPr>
        <w:t>Self-sufficient local government: 100% business rates retention</w:t>
      </w:r>
      <w:r>
        <w:rPr>
          <w:szCs w:val="28"/>
        </w:rPr>
        <w:t>, Department for Communities &amp; Local Government, July 2016, p.19.</w:t>
      </w:r>
    </w:p>
    <w:p w:rsidR="00B14B3B" w:rsidRDefault="00B14B3B" w:rsidP="00B14B3B">
      <w:pPr>
        <w:rPr>
          <w:szCs w:val="28"/>
        </w:rPr>
      </w:pPr>
    </w:p>
    <w:p w:rsidR="00B14B3B" w:rsidRDefault="00B14B3B" w:rsidP="00B14B3B">
      <w:pPr>
        <w:rPr>
          <w:szCs w:val="28"/>
        </w:rPr>
      </w:pPr>
      <w:r>
        <w:rPr>
          <w:szCs w:val="28"/>
        </w:rPr>
        <w:t xml:space="preserve">3. J. Lloyd, </w:t>
      </w:r>
      <w:r w:rsidRPr="000B43BA">
        <w:rPr>
          <w:b/>
          <w:szCs w:val="28"/>
        </w:rPr>
        <w:t>Attendance Allowance and local government: examining the evidence and the options</w:t>
      </w:r>
      <w:r>
        <w:rPr>
          <w:szCs w:val="28"/>
        </w:rPr>
        <w:t>, Strategic Society Centre, July 2016, p.13.</w:t>
      </w:r>
    </w:p>
    <w:p w:rsidR="00B14B3B" w:rsidRDefault="00B14B3B" w:rsidP="00B14B3B">
      <w:pPr>
        <w:rPr>
          <w:szCs w:val="28"/>
        </w:rPr>
      </w:pPr>
    </w:p>
    <w:p w:rsidR="00B14B3B" w:rsidRDefault="00B14B3B" w:rsidP="00B14B3B">
      <w:pPr>
        <w:rPr>
          <w:szCs w:val="28"/>
        </w:rPr>
      </w:pPr>
      <w:proofErr w:type="gramStart"/>
      <w:r>
        <w:rPr>
          <w:szCs w:val="28"/>
        </w:rPr>
        <w:t xml:space="preserve">4. G. Fimister, </w:t>
      </w:r>
      <w:r w:rsidRPr="00527166">
        <w:rPr>
          <w:b/>
          <w:szCs w:val="28"/>
        </w:rPr>
        <w:t>Quality of life and independence</w:t>
      </w:r>
      <w:r>
        <w:rPr>
          <w:szCs w:val="28"/>
        </w:rPr>
        <w:t>, RNIB and Visionary, 2011.</w:t>
      </w:r>
      <w:proofErr w:type="gramEnd"/>
      <w:r>
        <w:rPr>
          <w:szCs w:val="28"/>
        </w:rPr>
        <w:t xml:space="preserve"> </w:t>
      </w:r>
    </w:p>
    <w:p w:rsidR="002E358F" w:rsidRDefault="002E358F" w:rsidP="00B14B3B">
      <w:pPr>
        <w:rPr>
          <w:szCs w:val="28"/>
        </w:rPr>
      </w:pPr>
    </w:p>
    <w:p w:rsidR="002E358F" w:rsidRDefault="002E358F" w:rsidP="00B14B3B">
      <w:pPr>
        <w:rPr>
          <w:szCs w:val="28"/>
        </w:rPr>
      </w:pPr>
      <w:r>
        <w:rPr>
          <w:szCs w:val="28"/>
        </w:rPr>
        <w:t xml:space="preserve">5. G. Fimister, </w:t>
      </w:r>
      <w:r w:rsidRPr="002E358F">
        <w:rPr>
          <w:b/>
        </w:rPr>
        <w:t>Submission by organisations of and for visually impaired people to the Department for Communities and Local Government consultation on 100% business rates retention</w:t>
      </w:r>
      <w:r>
        <w:t>, September 2016.</w:t>
      </w:r>
    </w:p>
    <w:p w:rsidR="00B14B3B" w:rsidRDefault="00B14B3B" w:rsidP="00B14B3B">
      <w:pPr>
        <w:rPr>
          <w:szCs w:val="28"/>
        </w:rPr>
      </w:pPr>
    </w:p>
    <w:p w:rsidR="00B14B3B" w:rsidRDefault="002E358F" w:rsidP="00B14B3B">
      <w:pPr>
        <w:rPr>
          <w:szCs w:val="28"/>
        </w:rPr>
      </w:pPr>
      <w:r>
        <w:rPr>
          <w:szCs w:val="28"/>
        </w:rPr>
        <w:t>6</w:t>
      </w:r>
      <w:r w:rsidR="00AA40A3">
        <w:rPr>
          <w:szCs w:val="28"/>
        </w:rPr>
        <w:t>. See t</w:t>
      </w:r>
      <w:r w:rsidR="00B14B3B">
        <w:rPr>
          <w:szCs w:val="28"/>
        </w:rPr>
        <w:t xml:space="preserve">able 9 and note 3 above. </w:t>
      </w:r>
    </w:p>
    <w:p w:rsidR="009F1ABE" w:rsidRDefault="009F1ABE" w:rsidP="00B14B3B">
      <w:pPr>
        <w:rPr>
          <w:szCs w:val="28"/>
        </w:rPr>
      </w:pPr>
    </w:p>
    <w:p w:rsidR="009F1ABE" w:rsidRDefault="002E358F" w:rsidP="00B14B3B">
      <w:r>
        <w:rPr>
          <w:szCs w:val="28"/>
        </w:rPr>
        <w:t>7</w:t>
      </w:r>
      <w:r w:rsidR="009F1ABE">
        <w:rPr>
          <w:szCs w:val="28"/>
        </w:rPr>
        <w:t xml:space="preserve">. C. Byron, M. Blake &amp; S. Bridges, </w:t>
      </w:r>
      <w:r w:rsidR="009F1ABE" w:rsidRPr="009F1ABE">
        <w:rPr>
          <w:b/>
          <w:szCs w:val="28"/>
        </w:rPr>
        <w:t>Secondary analysis of adult social care data: what can the data tell us about blind and partially sighted care users?</w:t>
      </w:r>
      <w:r w:rsidR="009F1ABE">
        <w:rPr>
          <w:szCs w:val="28"/>
        </w:rPr>
        <w:t xml:space="preserve"> </w:t>
      </w:r>
      <w:proofErr w:type="gramStart"/>
      <w:r w:rsidR="009F1ABE">
        <w:rPr>
          <w:szCs w:val="28"/>
        </w:rPr>
        <w:t xml:space="preserve">RNIB/ </w:t>
      </w:r>
      <w:proofErr w:type="spellStart"/>
      <w:r w:rsidR="009F1ABE">
        <w:rPr>
          <w:szCs w:val="28"/>
        </w:rPr>
        <w:t>NatCen</w:t>
      </w:r>
      <w:proofErr w:type="spellEnd"/>
      <w:r w:rsidR="009F1ABE">
        <w:rPr>
          <w:szCs w:val="28"/>
        </w:rPr>
        <w:t xml:space="preserve"> Social Research, 2013.</w:t>
      </w:r>
      <w:proofErr w:type="gramEnd"/>
    </w:p>
    <w:p w:rsidR="00B14B3B" w:rsidRDefault="00B14B3B" w:rsidP="00B14B3B">
      <w:pPr>
        <w:pStyle w:val="Heading2"/>
        <w:rPr>
          <w:sz w:val="32"/>
          <w:szCs w:val="32"/>
        </w:rPr>
      </w:pPr>
    </w:p>
    <w:p w:rsidR="00B14B3B" w:rsidRPr="00024A25" w:rsidRDefault="00B14B3B" w:rsidP="00B14B3B">
      <w:pPr>
        <w:pStyle w:val="Heading2"/>
        <w:rPr>
          <w:sz w:val="32"/>
          <w:szCs w:val="32"/>
        </w:rPr>
      </w:pPr>
      <w:r w:rsidRPr="00024A25">
        <w:rPr>
          <w:sz w:val="32"/>
          <w:szCs w:val="32"/>
        </w:rPr>
        <w:t>Acknowledgements and further information</w:t>
      </w:r>
    </w:p>
    <w:p w:rsidR="00B14B3B" w:rsidRDefault="00B14B3B" w:rsidP="00B14B3B">
      <w:pPr>
        <w:rPr>
          <w:rFonts w:cs="Arial"/>
          <w:szCs w:val="28"/>
        </w:rPr>
      </w:pPr>
      <w:r>
        <w:rPr>
          <w:rFonts w:cs="Arial"/>
          <w:szCs w:val="28"/>
        </w:rPr>
        <w:t>This research was conducted by Puja Joshi and Catherine Dennison, based on interviews carried out by Tania Clarke</w:t>
      </w:r>
      <w:r w:rsidR="009F1A4D">
        <w:rPr>
          <w:rFonts w:cs="Arial"/>
          <w:szCs w:val="28"/>
        </w:rPr>
        <w:t xml:space="preserve"> (supplemented by responses to our web-based survey)</w:t>
      </w:r>
      <w:r>
        <w:rPr>
          <w:rFonts w:cs="Arial"/>
          <w:szCs w:val="28"/>
        </w:rPr>
        <w:t xml:space="preserve">. The report was written by </w:t>
      </w:r>
      <w:r w:rsidR="009F1A4D">
        <w:rPr>
          <w:rFonts w:cs="Arial"/>
          <w:szCs w:val="28"/>
        </w:rPr>
        <w:t xml:space="preserve">Geoff Fimister, Puja Joshi, </w:t>
      </w:r>
      <w:r>
        <w:rPr>
          <w:rFonts w:cs="Arial"/>
          <w:szCs w:val="28"/>
        </w:rPr>
        <w:t xml:space="preserve">Kate Flynn and </w:t>
      </w:r>
      <w:r w:rsidR="009F1A4D">
        <w:rPr>
          <w:rFonts w:cs="Arial"/>
          <w:szCs w:val="28"/>
        </w:rPr>
        <w:t>Catherine Dennison.</w:t>
      </w:r>
    </w:p>
    <w:p w:rsidR="00B14B3B" w:rsidRDefault="00B14B3B" w:rsidP="00B14B3B">
      <w:pPr>
        <w:rPr>
          <w:rFonts w:cs="Arial"/>
          <w:szCs w:val="28"/>
        </w:rPr>
      </w:pPr>
    </w:p>
    <w:p w:rsidR="00B14B3B" w:rsidRDefault="00B14B3B" w:rsidP="00B14B3B">
      <w:pPr>
        <w:rPr>
          <w:rFonts w:cs="Arial"/>
          <w:szCs w:val="28"/>
        </w:rPr>
      </w:pPr>
      <w:r>
        <w:rPr>
          <w:rFonts w:cs="Arial"/>
          <w:szCs w:val="28"/>
        </w:rPr>
        <w:t>We are most grateful to the blind and partially sighted people who shared their experiences with us and made this research possible.</w:t>
      </w:r>
    </w:p>
    <w:p w:rsidR="00B14B3B" w:rsidRDefault="00B14B3B" w:rsidP="00B14B3B">
      <w:pPr>
        <w:rPr>
          <w:rFonts w:cs="Arial"/>
          <w:szCs w:val="28"/>
        </w:rPr>
      </w:pPr>
    </w:p>
    <w:p w:rsidR="009F1A4D" w:rsidRDefault="009F1A4D">
      <w:pPr>
        <w:rPr>
          <w:rFonts w:cs="Arial"/>
          <w:szCs w:val="28"/>
        </w:rPr>
      </w:pPr>
      <w:r>
        <w:rPr>
          <w:rFonts w:cs="Arial"/>
          <w:szCs w:val="28"/>
        </w:rPr>
        <w:br w:type="page"/>
      </w:r>
    </w:p>
    <w:p w:rsidR="00B14B3B" w:rsidRDefault="00B14B3B" w:rsidP="00B14B3B">
      <w:pPr>
        <w:rPr>
          <w:rFonts w:cs="Arial"/>
          <w:szCs w:val="28"/>
        </w:rPr>
      </w:pPr>
      <w:r>
        <w:rPr>
          <w:rFonts w:cs="Arial"/>
          <w:szCs w:val="28"/>
        </w:rPr>
        <w:lastRenderedPageBreak/>
        <w:t>For more information relating to this report, please contact:</w:t>
      </w:r>
    </w:p>
    <w:p w:rsidR="00B14B3B" w:rsidRDefault="00B14B3B" w:rsidP="00B14B3B">
      <w:pPr>
        <w:rPr>
          <w:rFonts w:cs="Arial"/>
          <w:szCs w:val="28"/>
        </w:rPr>
      </w:pPr>
    </w:p>
    <w:p w:rsidR="00B14B3B" w:rsidRDefault="00B14B3B" w:rsidP="00B14B3B">
      <w:pPr>
        <w:rPr>
          <w:rFonts w:cs="Arial"/>
          <w:szCs w:val="28"/>
        </w:rPr>
      </w:pPr>
      <w:r w:rsidRPr="00802896">
        <w:rPr>
          <w:rFonts w:cs="Arial"/>
          <w:szCs w:val="28"/>
        </w:rPr>
        <w:t>Geoff Fimister</w:t>
      </w:r>
      <w:r>
        <w:rPr>
          <w:rFonts w:cs="Arial"/>
          <w:szCs w:val="28"/>
        </w:rPr>
        <w:t xml:space="preserve"> </w:t>
      </w:r>
    </w:p>
    <w:p w:rsidR="00B14B3B" w:rsidRDefault="00B14B3B" w:rsidP="00B14B3B">
      <w:pPr>
        <w:rPr>
          <w:rFonts w:cs="Arial"/>
          <w:szCs w:val="28"/>
        </w:rPr>
      </w:pPr>
      <w:r w:rsidRPr="00802896">
        <w:rPr>
          <w:rFonts w:cs="Arial"/>
          <w:szCs w:val="28"/>
        </w:rPr>
        <w:t>Campaigns Officer (Incomes)</w:t>
      </w:r>
    </w:p>
    <w:p w:rsidR="00B14B3B" w:rsidRDefault="00B14B3B" w:rsidP="00B14B3B">
      <w:pPr>
        <w:rPr>
          <w:rFonts w:cs="Arial"/>
          <w:szCs w:val="28"/>
        </w:rPr>
      </w:pPr>
      <w:r>
        <w:rPr>
          <w:rFonts w:cs="Arial"/>
          <w:szCs w:val="28"/>
        </w:rPr>
        <w:t>Royal National Institute of Blind People</w:t>
      </w:r>
    </w:p>
    <w:p w:rsidR="00B14B3B" w:rsidRPr="00802896" w:rsidRDefault="00B14B3B" w:rsidP="00B14B3B">
      <w:pPr>
        <w:rPr>
          <w:rFonts w:cs="Arial"/>
          <w:szCs w:val="28"/>
        </w:rPr>
      </w:pPr>
      <w:r w:rsidRPr="00802896">
        <w:rPr>
          <w:rFonts w:cs="Arial"/>
          <w:szCs w:val="28"/>
        </w:rPr>
        <w:t>105 Judd Street</w:t>
      </w:r>
      <w:r>
        <w:rPr>
          <w:rFonts w:cs="Arial"/>
          <w:szCs w:val="28"/>
        </w:rPr>
        <w:t>,</w:t>
      </w:r>
    </w:p>
    <w:p w:rsidR="00B14B3B" w:rsidRDefault="00B14B3B" w:rsidP="00B14B3B">
      <w:pPr>
        <w:pStyle w:val="PlainText"/>
        <w:rPr>
          <w:rFonts w:ascii="Arial" w:hAnsi="Arial" w:cs="Arial"/>
          <w:sz w:val="28"/>
          <w:szCs w:val="28"/>
        </w:rPr>
      </w:pPr>
      <w:r w:rsidRPr="00802896">
        <w:rPr>
          <w:rFonts w:ascii="Arial" w:hAnsi="Arial" w:cs="Arial"/>
          <w:sz w:val="28"/>
          <w:szCs w:val="28"/>
        </w:rPr>
        <w:t>London</w:t>
      </w:r>
    </w:p>
    <w:p w:rsidR="00B14B3B" w:rsidRDefault="00B14B3B" w:rsidP="00B14B3B">
      <w:pPr>
        <w:pStyle w:val="PlainText"/>
        <w:rPr>
          <w:rFonts w:ascii="Arial" w:hAnsi="Arial" w:cs="Arial"/>
          <w:sz w:val="28"/>
          <w:szCs w:val="28"/>
        </w:rPr>
      </w:pPr>
      <w:r w:rsidRPr="00802896">
        <w:rPr>
          <w:rFonts w:ascii="Arial" w:hAnsi="Arial" w:cs="Arial"/>
          <w:sz w:val="28"/>
          <w:szCs w:val="28"/>
        </w:rPr>
        <w:t>WC1H 9NE</w:t>
      </w:r>
    </w:p>
    <w:p w:rsidR="00B14B3B" w:rsidRDefault="00B14B3B" w:rsidP="00B14B3B">
      <w:pPr>
        <w:pStyle w:val="PlainText"/>
        <w:rPr>
          <w:rFonts w:ascii="Arial" w:hAnsi="Arial" w:cs="Arial"/>
          <w:sz w:val="28"/>
          <w:szCs w:val="28"/>
        </w:rPr>
      </w:pPr>
    </w:p>
    <w:p w:rsidR="00B14B3B" w:rsidRDefault="00B14B3B" w:rsidP="00B14B3B">
      <w:pPr>
        <w:pStyle w:val="PlainText"/>
        <w:rPr>
          <w:rFonts w:ascii="Arial" w:hAnsi="Arial" w:cs="Arial"/>
          <w:sz w:val="28"/>
          <w:szCs w:val="28"/>
        </w:rPr>
      </w:pPr>
      <w:r>
        <w:rPr>
          <w:rFonts w:ascii="Arial" w:hAnsi="Arial" w:cs="Arial"/>
          <w:sz w:val="28"/>
          <w:szCs w:val="28"/>
        </w:rPr>
        <w:t xml:space="preserve">Tel. </w:t>
      </w:r>
      <w:r w:rsidRPr="00802896">
        <w:rPr>
          <w:rFonts w:ascii="Arial" w:hAnsi="Arial" w:cs="Arial"/>
          <w:sz w:val="28"/>
          <w:szCs w:val="28"/>
        </w:rPr>
        <w:t>020 7391 3266</w:t>
      </w:r>
      <w:r>
        <w:rPr>
          <w:rFonts w:ascii="Arial" w:hAnsi="Arial" w:cs="Arial"/>
          <w:sz w:val="28"/>
          <w:szCs w:val="28"/>
        </w:rPr>
        <w:t xml:space="preserve">      </w:t>
      </w:r>
    </w:p>
    <w:p w:rsidR="00B14B3B" w:rsidRDefault="00B14B3B" w:rsidP="00B14B3B">
      <w:pPr>
        <w:pStyle w:val="PlainText"/>
        <w:rPr>
          <w:rFonts w:ascii="Arial" w:hAnsi="Arial" w:cs="Arial"/>
          <w:sz w:val="28"/>
          <w:szCs w:val="28"/>
        </w:rPr>
      </w:pPr>
    </w:p>
    <w:p w:rsidR="00B14B3B" w:rsidRDefault="00B14B3B" w:rsidP="00B14B3B">
      <w:r>
        <w:rPr>
          <w:rFonts w:cs="Arial"/>
          <w:szCs w:val="28"/>
        </w:rPr>
        <w:t xml:space="preserve">E-mail </w:t>
      </w:r>
      <w:hyperlink r:id="rId9" w:history="1">
        <w:r w:rsidRPr="00C507C7">
          <w:rPr>
            <w:rStyle w:val="Hyperlink"/>
            <w:rFonts w:cs="Arial"/>
            <w:szCs w:val="28"/>
          </w:rPr>
          <w:t>gfimister@rnib.org.uk</w:t>
        </w:r>
      </w:hyperlink>
      <w:r>
        <w:t xml:space="preserve"> </w:t>
      </w:r>
    </w:p>
    <w:p w:rsidR="00622241" w:rsidRDefault="00622241" w:rsidP="00D17146">
      <w:pPr>
        <w:rPr>
          <w:rFonts w:cs="Arial"/>
          <w:szCs w:val="28"/>
        </w:rPr>
      </w:pPr>
    </w:p>
    <w:p w:rsidR="00B14B3B" w:rsidRDefault="00B14B3B">
      <w:pPr>
        <w:rPr>
          <w:rFonts w:cs="Arial"/>
          <w:szCs w:val="28"/>
        </w:rPr>
      </w:pPr>
    </w:p>
    <w:p w:rsidR="002E358F" w:rsidRDefault="002E358F">
      <w:pPr>
        <w:rPr>
          <w:rFonts w:cs="Arial"/>
          <w:szCs w:val="28"/>
        </w:rPr>
      </w:pPr>
    </w:p>
    <w:p w:rsidR="002E358F" w:rsidRPr="002E358F" w:rsidRDefault="002E358F" w:rsidP="002E358F"/>
    <w:p w:rsidR="002E358F" w:rsidRPr="002E358F" w:rsidRDefault="002E358F" w:rsidP="002E358F"/>
    <w:p w:rsidR="002E358F" w:rsidRPr="002E358F" w:rsidRDefault="002E358F" w:rsidP="002E358F"/>
    <w:sectPr w:rsidR="002E358F" w:rsidRPr="002E358F" w:rsidSect="00D8076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8F" w:rsidRDefault="002E358F" w:rsidP="007248A9">
      <w:r>
        <w:separator/>
      </w:r>
    </w:p>
  </w:endnote>
  <w:endnote w:type="continuationSeparator" w:id="0">
    <w:p w:rsidR="002E358F" w:rsidRDefault="002E358F" w:rsidP="00724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11956"/>
      <w:docPartObj>
        <w:docPartGallery w:val="Page Numbers (Bottom of Page)"/>
        <w:docPartUnique/>
      </w:docPartObj>
    </w:sdtPr>
    <w:sdtEndPr>
      <w:rPr>
        <w:noProof/>
      </w:rPr>
    </w:sdtEndPr>
    <w:sdtContent>
      <w:p w:rsidR="002E358F" w:rsidRDefault="009014DD">
        <w:pPr>
          <w:pStyle w:val="Footer"/>
          <w:jc w:val="right"/>
        </w:pPr>
        <w:fldSimple w:instr=" PAGE   \* MERGEFORMAT ">
          <w:r w:rsidR="00C00AED">
            <w:rPr>
              <w:noProof/>
            </w:rPr>
            <w:t>8</w:t>
          </w:r>
        </w:fldSimple>
      </w:p>
    </w:sdtContent>
  </w:sdt>
  <w:p w:rsidR="002E358F" w:rsidRDefault="002E3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8F" w:rsidRDefault="002E358F" w:rsidP="007248A9">
      <w:r>
        <w:separator/>
      </w:r>
    </w:p>
  </w:footnote>
  <w:footnote w:type="continuationSeparator" w:id="0">
    <w:p w:rsidR="002E358F" w:rsidRDefault="002E358F" w:rsidP="007248A9">
      <w:r>
        <w:continuationSeparator/>
      </w:r>
    </w:p>
  </w:footnote>
  <w:footnote w:id="1">
    <w:p w:rsidR="002E358F" w:rsidRPr="00D33C98" w:rsidRDefault="002E358F" w:rsidP="00FC117A">
      <w:pPr>
        <w:pStyle w:val="FootnoteText"/>
        <w:rPr>
          <w:sz w:val="28"/>
          <w:szCs w:val="28"/>
        </w:rPr>
      </w:pPr>
      <w:r w:rsidRPr="00D33C98">
        <w:rPr>
          <w:rStyle w:val="FootnoteReference"/>
          <w:sz w:val="28"/>
          <w:szCs w:val="28"/>
        </w:rPr>
        <w:footnoteRef/>
      </w:r>
      <w:r w:rsidRPr="00D33C98">
        <w:rPr>
          <w:sz w:val="28"/>
          <w:szCs w:val="28"/>
        </w:rPr>
        <w:t xml:space="preserve"> </w:t>
      </w:r>
      <w:r w:rsidRPr="00895593">
        <w:rPr>
          <w:sz w:val="28"/>
          <w:szCs w:val="28"/>
        </w:rPr>
        <w:t>N</w:t>
      </w:r>
      <w:r>
        <w:rPr>
          <w:sz w:val="28"/>
          <w:szCs w:val="28"/>
        </w:rPr>
        <w:t>otes are at p</w:t>
      </w:r>
      <w:r w:rsidRPr="00B14B3B">
        <w:rPr>
          <w:sz w:val="28"/>
          <w:szCs w:val="28"/>
        </w:rPr>
        <w:t>.</w:t>
      </w:r>
      <w:r>
        <w:rPr>
          <w:sz w:val="28"/>
          <w:szCs w:val="28"/>
        </w:rPr>
        <w:t>17</w:t>
      </w:r>
      <w:r w:rsidRPr="00B14B3B">
        <w:rPr>
          <w:sz w:val="28"/>
          <w:szCs w:val="28"/>
        </w:rPr>
        <w:t xml:space="preserve"> </w:t>
      </w:r>
      <w:r>
        <w:rPr>
          <w:sz w:val="28"/>
          <w:szCs w:val="28"/>
        </w:rPr>
        <w:t xml:space="preserve">below.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394C8F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0825724"/>
    <w:multiLevelType w:val="hybridMultilevel"/>
    <w:tmpl w:val="A2504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248A9"/>
    <w:rsid w:val="00024A25"/>
    <w:rsid w:val="0003418F"/>
    <w:rsid w:val="00043E69"/>
    <w:rsid w:val="00052BC4"/>
    <w:rsid w:val="0005617F"/>
    <w:rsid w:val="000626B3"/>
    <w:rsid w:val="00066380"/>
    <w:rsid w:val="00070B06"/>
    <w:rsid w:val="00090D4B"/>
    <w:rsid w:val="00091151"/>
    <w:rsid w:val="000A44ED"/>
    <w:rsid w:val="000A5DE6"/>
    <w:rsid w:val="000B2CB5"/>
    <w:rsid w:val="000B4104"/>
    <w:rsid w:val="000D5EAA"/>
    <w:rsid w:val="000D7F03"/>
    <w:rsid w:val="000E7610"/>
    <w:rsid w:val="00107174"/>
    <w:rsid w:val="00110DC8"/>
    <w:rsid w:val="00114D2A"/>
    <w:rsid w:val="001352AC"/>
    <w:rsid w:val="001370F5"/>
    <w:rsid w:val="001413E8"/>
    <w:rsid w:val="00145BCA"/>
    <w:rsid w:val="001558D9"/>
    <w:rsid w:val="00156D54"/>
    <w:rsid w:val="00173EF1"/>
    <w:rsid w:val="00174674"/>
    <w:rsid w:val="001762A1"/>
    <w:rsid w:val="001803B4"/>
    <w:rsid w:val="001833A9"/>
    <w:rsid w:val="001B67CA"/>
    <w:rsid w:val="001D6592"/>
    <w:rsid w:val="00200B48"/>
    <w:rsid w:val="002075D2"/>
    <w:rsid w:val="002242F5"/>
    <w:rsid w:val="00240F36"/>
    <w:rsid w:val="00243E9E"/>
    <w:rsid w:val="002553D2"/>
    <w:rsid w:val="00263B65"/>
    <w:rsid w:val="00272719"/>
    <w:rsid w:val="002862D1"/>
    <w:rsid w:val="00290362"/>
    <w:rsid w:val="00292F5D"/>
    <w:rsid w:val="002D32DC"/>
    <w:rsid w:val="002D7516"/>
    <w:rsid w:val="002E0DBF"/>
    <w:rsid w:val="002E358F"/>
    <w:rsid w:val="002E5B05"/>
    <w:rsid w:val="002E79A7"/>
    <w:rsid w:val="002F6843"/>
    <w:rsid w:val="00301844"/>
    <w:rsid w:val="0030333A"/>
    <w:rsid w:val="0031554F"/>
    <w:rsid w:val="00334893"/>
    <w:rsid w:val="0034139A"/>
    <w:rsid w:val="0036581C"/>
    <w:rsid w:val="00375231"/>
    <w:rsid w:val="003756DF"/>
    <w:rsid w:val="0038628F"/>
    <w:rsid w:val="00393EA5"/>
    <w:rsid w:val="003A079F"/>
    <w:rsid w:val="003B6FE6"/>
    <w:rsid w:val="003F0F80"/>
    <w:rsid w:val="004101E5"/>
    <w:rsid w:val="00421802"/>
    <w:rsid w:val="004229BC"/>
    <w:rsid w:val="004553B9"/>
    <w:rsid w:val="00455C0D"/>
    <w:rsid w:val="00455CD4"/>
    <w:rsid w:val="00456106"/>
    <w:rsid w:val="00475616"/>
    <w:rsid w:val="00476388"/>
    <w:rsid w:val="0048124F"/>
    <w:rsid w:val="00484D76"/>
    <w:rsid w:val="004C5C2D"/>
    <w:rsid w:val="004D32DE"/>
    <w:rsid w:val="004F6510"/>
    <w:rsid w:val="00510599"/>
    <w:rsid w:val="00511D6D"/>
    <w:rsid w:val="005265B6"/>
    <w:rsid w:val="005308CB"/>
    <w:rsid w:val="00547461"/>
    <w:rsid w:val="00571DC3"/>
    <w:rsid w:val="005A49B6"/>
    <w:rsid w:val="005B7C04"/>
    <w:rsid w:val="005B7C84"/>
    <w:rsid w:val="005D04F8"/>
    <w:rsid w:val="005D3187"/>
    <w:rsid w:val="005F302F"/>
    <w:rsid w:val="00605AD9"/>
    <w:rsid w:val="00617685"/>
    <w:rsid w:val="0062057E"/>
    <w:rsid w:val="00622241"/>
    <w:rsid w:val="00637059"/>
    <w:rsid w:val="00640C71"/>
    <w:rsid w:val="006418EE"/>
    <w:rsid w:val="00647618"/>
    <w:rsid w:val="00653E1D"/>
    <w:rsid w:val="006627F9"/>
    <w:rsid w:val="0066686D"/>
    <w:rsid w:val="00674325"/>
    <w:rsid w:val="006B7BE5"/>
    <w:rsid w:val="006C1F00"/>
    <w:rsid w:val="0071070A"/>
    <w:rsid w:val="00721536"/>
    <w:rsid w:val="007248A9"/>
    <w:rsid w:val="00727D72"/>
    <w:rsid w:val="00733D60"/>
    <w:rsid w:val="00745EB8"/>
    <w:rsid w:val="007676F2"/>
    <w:rsid w:val="007712C6"/>
    <w:rsid w:val="00787AFD"/>
    <w:rsid w:val="00787DD4"/>
    <w:rsid w:val="0079346E"/>
    <w:rsid w:val="007A4A3B"/>
    <w:rsid w:val="007B3248"/>
    <w:rsid w:val="007B55F6"/>
    <w:rsid w:val="007C12F6"/>
    <w:rsid w:val="007C5B0E"/>
    <w:rsid w:val="007D5E8F"/>
    <w:rsid w:val="007D5FB8"/>
    <w:rsid w:val="007F581C"/>
    <w:rsid w:val="00811A10"/>
    <w:rsid w:val="00821EFE"/>
    <w:rsid w:val="0084783A"/>
    <w:rsid w:val="00860332"/>
    <w:rsid w:val="00866550"/>
    <w:rsid w:val="008770CF"/>
    <w:rsid w:val="008825EF"/>
    <w:rsid w:val="00894AAB"/>
    <w:rsid w:val="008A49F2"/>
    <w:rsid w:val="008B4410"/>
    <w:rsid w:val="008D7A9D"/>
    <w:rsid w:val="008E7096"/>
    <w:rsid w:val="008F77D2"/>
    <w:rsid w:val="009014DD"/>
    <w:rsid w:val="009237F3"/>
    <w:rsid w:val="0092601A"/>
    <w:rsid w:val="00927FF6"/>
    <w:rsid w:val="0093566C"/>
    <w:rsid w:val="0093579D"/>
    <w:rsid w:val="0095499A"/>
    <w:rsid w:val="00962C9D"/>
    <w:rsid w:val="00972DF6"/>
    <w:rsid w:val="009963E5"/>
    <w:rsid w:val="009A5611"/>
    <w:rsid w:val="009C0CFA"/>
    <w:rsid w:val="009C7E6C"/>
    <w:rsid w:val="009D41A7"/>
    <w:rsid w:val="009E3977"/>
    <w:rsid w:val="009F1A4D"/>
    <w:rsid w:val="009F1ABE"/>
    <w:rsid w:val="009F4A9A"/>
    <w:rsid w:val="00A10D26"/>
    <w:rsid w:val="00A31FBA"/>
    <w:rsid w:val="00A45B95"/>
    <w:rsid w:val="00A77E64"/>
    <w:rsid w:val="00A81036"/>
    <w:rsid w:val="00A83984"/>
    <w:rsid w:val="00A85DFC"/>
    <w:rsid w:val="00A97D45"/>
    <w:rsid w:val="00AA40A3"/>
    <w:rsid w:val="00AB0025"/>
    <w:rsid w:val="00AC4C6C"/>
    <w:rsid w:val="00AC643E"/>
    <w:rsid w:val="00AD4D29"/>
    <w:rsid w:val="00AD64EA"/>
    <w:rsid w:val="00AE4252"/>
    <w:rsid w:val="00B14B3B"/>
    <w:rsid w:val="00B40D4B"/>
    <w:rsid w:val="00B6718B"/>
    <w:rsid w:val="00B67C73"/>
    <w:rsid w:val="00B81E3A"/>
    <w:rsid w:val="00B902A7"/>
    <w:rsid w:val="00BA3D41"/>
    <w:rsid w:val="00BA625A"/>
    <w:rsid w:val="00BA6438"/>
    <w:rsid w:val="00BA764B"/>
    <w:rsid w:val="00BB0100"/>
    <w:rsid w:val="00BD36DD"/>
    <w:rsid w:val="00BD397E"/>
    <w:rsid w:val="00BD76BA"/>
    <w:rsid w:val="00C00AED"/>
    <w:rsid w:val="00C00C6A"/>
    <w:rsid w:val="00C03C51"/>
    <w:rsid w:val="00C03E18"/>
    <w:rsid w:val="00C15ECE"/>
    <w:rsid w:val="00C22CE1"/>
    <w:rsid w:val="00C305D6"/>
    <w:rsid w:val="00C35644"/>
    <w:rsid w:val="00C65ED7"/>
    <w:rsid w:val="00C669E3"/>
    <w:rsid w:val="00C93B16"/>
    <w:rsid w:val="00C9753E"/>
    <w:rsid w:val="00CD07BA"/>
    <w:rsid w:val="00CD7C67"/>
    <w:rsid w:val="00CD7F37"/>
    <w:rsid w:val="00D07E35"/>
    <w:rsid w:val="00D17146"/>
    <w:rsid w:val="00D1781B"/>
    <w:rsid w:val="00D205BD"/>
    <w:rsid w:val="00D2352D"/>
    <w:rsid w:val="00D3015B"/>
    <w:rsid w:val="00D3064E"/>
    <w:rsid w:val="00D3583A"/>
    <w:rsid w:val="00D40222"/>
    <w:rsid w:val="00D80769"/>
    <w:rsid w:val="00D811DE"/>
    <w:rsid w:val="00DA0DD9"/>
    <w:rsid w:val="00DC5EE4"/>
    <w:rsid w:val="00DD4189"/>
    <w:rsid w:val="00DE0A45"/>
    <w:rsid w:val="00DE4986"/>
    <w:rsid w:val="00DF0F27"/>
    <w:rsid w:val="00E0137E"/>
    <w:rsid w:val="00E042E2"/>
    <w:rsid w:val="00E44495"/>
    <w:rsid w:val="00E5653F"/>
    <w:rsid w:val="00E61A5C"/>
    <w:rsid w:val="00E7296E"/>
    <w:rsid w:val="00E75291"/>
    <w:rsid w:val="00E7750D"/>
    <w:rsid w:val="00EA6832"/>
    <w:rsid w:val="00EA7820"/>
    <w:rsid w:val="00EC6FCB"/>
    <w:rsid w:val="00EF0D98"/>
    <w:rsid w:val="00F06D53"/>
    <w:rsid w:val="00F22605"/>
    <w:rsid w:val="00F357CD"/>
    <w:rsid w:val="00F4190B"/>
    <w:rsid w:val="00F52847"/>
    <w:rsid w:val="00F5419A"/>
    <w:rsid w:val="00F71176"/>
    <w:rsid w:val="00FA38E7"/>
    <w:rsid w:val="00FA550D"/>
    <w:rsid w:val="00FA6809"/>
    <w:rsid w:val="00FB0374"/>
    <w:rsid w:val="00FB62F1"/>
    <w:rsid w:val="00FC117A"/>
    <w:rsid w:val="00FC252D"/>
    <w:rsid w:val="00FE0D46"/>
    <w:rsid w:val="00FE17AD"/>
    <w:rsid w:val="00FE61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7248A9"/>
    <w:pPr>
      <w:tabs>
        <w:tab w:val="center" w:pos="4513"/>
        <w:tab w:val="right" w:pos="9026"/>
      </w:tabs>
    </w:pPr>
  </w:style>
  <w:style w:type="character" w:customStyle="1" w:styleId="HeaderChar">
    <w:name w:val="Header Char"/>
    <w:basedOn w:val="DefaultParagraphFont"/>
    <w:link w:val="Header"/>
    <w:rsid w:val="007248A9"/>
    <w:rPr>
      <w:rFonts w:ascii="Arial" w:hAnsi="Arial"/>
      <w:sz w:val="28"/>
    </w:rPr>
  </w:style>
  <w:style w:type="paragraph" w:styleId="Footer">
    <w:name w:val="footer"/>
    <w:basedOn w:val="Normal"/>
    <w:link w:val="FooterChar"/>
    <w:uiPriority w:val="99"/>
    <w:rsid w:val="007248A9"/>
    <w:pPr>
      <w:tabs>
        <w:tab w:val="center" w:pos="4513"/>
        <w:tab w:val="right" w:pos="9026"/>
      </w:tabs>
    </w:pPr>
  </w:style>
  <w:style w:type="character" w:customStyle="1" w:styleId="FooterChar">
    <w:name w:val="Footer Char"/>
    <w:basedOn w:val="DefaultParagraphFont"/>
    <w:link w:val="Footer"/>
    <w:uiPriority w:val="99"/>
    <w:rsid w:val="007248A9"/>
    <w:rPr>
      <w:rFonts w:ascii="Arial" w:hAnsi="Arial"/>
      <w:sz w:val="28"/>
    </w:rPr>
  </w:style>
  <w:style w:type="table" w:styleId="TableGrid">
    <w:name w:val="Table Grid"/>
    <w:basedOn w:val="TableNormal"/>
    <w:rsid w:val="00BA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043E69"/>
  </w:style>
  <w:style w:type="paragraph" w:styleId="ListParagraph">
    <w:name w:val="List Paragraph"/>
    <w:basedOn w:val="Normal"/>
    <w:uiPriority w:val="34"/>
    <w:qFormat/>
    <w:rsid w:val="00A81036"/>
    <w:pPr>
      <w:ind w:left="720"/>
      <w:contextualSpacing/>
    </w:pPr>
  </w:style>
  <w:style w:type="character" w:styleId="CommentReference">
    <w:name w:val="annotation reference"/>
    <w:basedOn w:val="DefaultParagraphFont"/>
    <w:rsid w:val="00E5653F"/>
    <w:rPr>
      <w:sz w:val="16"/>
      <w:szCs w:val="16"/>
    </w:rPr>
  </w:style>
  <w:style w:type="paragraph" w:styleId="CommentText">
    <w:name w:val="annotation text"/>
    <w:basedOn w:val="Normal"/>
    <w:link w:val="CommentTextChar"/>
    <w:rsid w:val="00E5653F"/>
    <w:rPr>
      <w:sz w:val="20"/>
    </w:rPr>
  </w:style>
  <w:style w:type="character" w:customStyle="1" w:styleId="CommentTextChar">
    <w:name w:val="Comment Text Char"/>
    <w:basedOn w:val="DefaultParagraphFont"/>
    <w:link w:val="CommentText"/>
    <w:rsid w:val="00E5653F"/>
    <w:rPr>
      <w:rFonts w:ascii="Arial" w:hAnsi="Arial"/>
    </w:rPr>
  </w:style>
  <w:style w:type="paragraph" w:styleId="CommentSubject">
    <w:name w:val="annotation subject"/>
    <w:basedOn w:val="CommentText"/>
    <w:next w:val="CommentText"/>
    <w:link w:val="CommentSubjectChar"/>
    <w:rsid w:val="00E5653F"/>
    <w:rPr>
      <w:b/>
      <w:bCs/>
    </w:rPr>
  </w:style>
  <w:style w:type="character" w:customStyle="1" w:styleId="CommentSubjectChar">
    <w:name w:val="Comment Subject Char"/>
    <w:basedOn w:val="CommentTextChar"/>
    <w:link w:val="CommentSubject"/>
    <w:rsid w:val="00E5653F"/>
    <w:rPr>
      <w:rFonts w:ascii="Arial" w:hAnsi="Arial"/>
      <w:b/>
      <w:bCs/>
    </w:rPr>
  </w:style>
  <w:style w:type="paragraph" w:styleId="BalloonText">
    <w:name w:val="Balloon Text"/>
    <w:basedOn w:val="Normal"/>
    <w:link w:val="BalloonTextChar"/>
    <w:rsid w:val="00E5653F"/>
    <w:rPr>
      <w:rFonts w:ascii="Tahoma" w:hAnsi="Tahoma" w:cs="Tahoma"/>
      <w:sz w:val="16"/>
      <w:szCs w:val="16"/>
    </w:rPr>
  </w:style>
  <w:style w:type="character" w:customStyle="1" w:styleId="BalloonTextChar">
    <w:name w:val="Balloon Text Char"/>
    <w:basedOn w:val="DefaultParagraphFont"/>
    <w:link w:val="BalloonText"/>
    <w:rsid w:val="00E5653F"/>
    <w:rPr>
      <w:rFonts w:ascii="Tahoma" w:hAnsi="Tahoma" w:cs="Tahoma"/>
      <w:sz w:val="16"/>
      <w:szCs w:val="16"/>
    </w:rPr>
  </w:style>
  <w:style w:type="paragraph" w:styleId="FootnoteText">
    <w:name w:val="footnote text"/>
    <w:basedOn w:val="Normal"/>
    <w:link w:val="FootnoteTextChar"/>
    <w:rsid w:val="00393EA5"/>
    <w:rPr>
      <w:sz w:val="20"/>
    </w:rPr>
  </w:style>
  <w:style w:type="character" w:customStyle="1" w:styleId="FootnoteTextChar">
    <w:name w:val="Footnote Text Char"/>
    <w:basedOn w:val="DefaultParagraphFont"/>
    <w:link w:val="FootnoteText"/>
    <w:rsid w:val="00393EA5"/>
    <w:rPr>
      <w:rFonts w:ascii="Arial" w:hAnsi="Arial"/>
    </w:rPr>
  </w:style>
  <w:style w:type="character" w:styleId="FootnoteReference">
    <w:name w:val="footnote reference"/>
    <w:basedOn w:val="DefaultParagraphFont"/>
    <w:rsid w:val="00393EA5"/>
    <w:rPr>
      <w:vertAlign w:val="superscript"/>
    </w:rPr>
  </w:style>
  <w:style w:type="paragraph" w:customStyle="1" w:styleId="Default">
    <w:name w:val="Default"/>
    <w:rsid w:val="00393EA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7820"/>
    <w:rPr>
      <w:rFonts w:cs="Times New Roman"/>
      <w:color w:val="0000FF"/>
      <w:u w:val="single"/>
    </w:rPr>
  </w:style>
  <w:style w:type="paragraph" w:styleId="PlainText">
    <w:name w:val="Plain Text"/>
    <w:basedOn w:val="Normal"/>
    <w:link w:val="PlainTextChar"/>
    <w:uiPriority w:val="99"/>
    <w:unhideWhenUsed/>
    <w:rsid w:val="00EA782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A7820"/>
    <w:rPr>
      <w:rFonts w:ascii="Consolas" w:eastAsiaTheme="minorHAnsi" w:hAnsi="Consolas" w:cstheme="minorBidi"/>
      <w:sz w:val="21"/>
      <w:szCs w:val="21"/>
      <w:lang w:eastAsia="en-US"/>
    </w:rPr>
  </w:style>
  <w:style w:type="paragraph" w:styleId="DocumentMap">
    <w:name w:val="Document Map"/>
    <w:basedOn w:val="Normal"/>
    <w:link w:val="DocumentMapChar"/>
    <w:rsid w:val="000B4104"/>
    <w:rPr>
      <w:rFonts w:ascii="Tahoma" w:hAnsi="Tahoma" w:cs="Tahoma"/>
      <w:sz w:val="16"/>
      <w:szCs w:val="16"/>
    </w:rPr>
  </w:style>
  <w:style w:type="character" w:customStyle="1" w:styleId="DocumentMapChar">
    <w:name w:val="Document Map Char"/>
    <w:basedOn w:val="DefaultParagraphFont"/>
    <w:link w:val="DocumentMap"/>
    <w:rsid w:val="000B4104"/>
    <w:rPr>
      <w:rFonts w:ascii="Tahoma" w:hAnsi="Tahoma" w:cs="Tahoma"/>
      <w:sz w:val="16"/>
      <w:szCs w:val="16"/>
    </w:rPr>
  </w:style>
  <w:style w:type="character" w:customStyle="1" w:styleId="Heading1Char">
    <w:name w:val="Heading 1 Char"/>
    <w:basedOn w:val="DefaultParagraphFont"/>
    <w:link w:val="Heading1"/>
    <w:rsid w:val="002E358F"/>
    <w:rPr>
      <w:rFonts w:ascii="Arial" w:hAnsi="Arial"/>
      <w:b/>
      <w:kern w:val="3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7248A9"/>
    <w:pPr>
      <w:tabs>
        <w:tab w:val="center" w:pos="4513"/>
        <w:tab w:val="right" w:pos="9026"/>
      </w:tabs>
    </w:pPr>
  </w:style>
  <w:style w:type="character" w:customStyle="1" w:styleId="HeaderChar">
    <w:name w:val="Header Char"/>
    <w:basedOn w:val="DefaultParagraphFont"/>
    <w:link w:val="Header"/>
    <w:rsid w:val="007248A9"/>
    <w:rPr>
      <w:rFonts w:ascii="Arial" w:hAnsi="Arial"/>
      <w:sz w:val="28"/>
    </w:rPr>
  </w:style>
  <w:style w:type="paragraph" w:styleId="Footer">
    <w:name w:val="footer"/>
    <w:basedOn w:val="Normal"/>
    <w:link w:val="FooterChar"/>
    <w:uiPriority w:val="99"/>
    <w:rsid w:val="007248A9"/>
    <w:pPr>
      <w:tabs>
        <w:tab w:val="center" w:pos="4513"/>
        <w:tab w:val="right" w:pos="9026"/>
      </w:tabs>
    </w:pPr>
  </w:style>
  <w:style w:type="character" w:customStyle="1" w:styleId="FooterChar">
    <w:name w:val="Footer Char"/>
    <w:basedOn w:val="DefaultParagraphFont"/>
    <w:link w:val="Footer"/>
    <w:uiPriority w:val="99"/>
    <w:rsid w:val="007248A9"/>
    <w:rPr>
      <w:rFonts w:ascii="Arial" w:hAnsi="Arial"/>
      <w:sz w:val="28"/>
    </w:rPr>
  </w:style>
  <w:style w:type="table" w:styleId="TableGrid">
    <w:name w:val="Table Grid"/>
    <w:basedOn w:val="TableNormal"/>
    <w:rsid w:val="00BA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on-arrow">
    <w:name w:val="action-arrow"/>
    <w:basedOn w:val="DefaultParagraphFont"/>
    <w:rsid w:val="00043E69"/>
  </w:style>
  <w:style w:type="paragraph" w:styleId="ListParagraph">
    <w:name w:val="List Paragraph"/>
    <w:basedOn w:val="Normal"/>
    <w:uiPriority w:val="34"/>
    <w:qFormat/>
    <w:rsid w:val="00A81036"/>
    <w:pPr>
      <w:ind w:left="720"/>
      <w:contextualSpacing/>
    </w:pPr>
  </w:style>
  <w:style w:type="character" w:styleId="CommentReference">
    <w:name w:val="annotation reference"/>
    <w:basedOn w:val="DefaultParagraphFont"/>
    <w:rsid w:val="00E5653F"/>
    <w:rPr>
      <w:sz w:val="16"/>
      <w:szCs w:val="16"/>
    </w:rPr>
  </w:style>
  <w:style w:type="paragraph" w:styleId="CommentText">
    <w:name w:val="annotation text"/>
    <w:basedOn w:val="Normal"/>
    <w:link w:val="CommentTextChar"/>
    <w:rsid w:val="00E5653F"/>
    <w:rPr>
      <w:sz w:val="20"/>
    </w:rPr>
  </w:style>
  <w:style w:type="character" w:customStyle="1" w:styleId="CommentTextChar">
    <w:name w:val="Comment Text Char"/>
    <w:basedOn w:val="DefaultParagraphFont"/>
    <w:link w:val="CommentText"/>
    <w:rsid w:val="00E5653F"/>
    <w:rPr>
      <w:rFonts w:ascii="Arial" w:hAnsi="Arial"/>
    </w:rPr>
  </w:style>
  <w:style w:type="paragraph" w:styleId="CommentSubject">
    <w:name w:val="annotation subject"/>
    <w:basedOn w:val="CommentText"/>
    <w:next w:val="CommentText"/>
    <w:link w:val="CommentSubjectChar"/>
    <w:rsid w:val="00E5653F"/>
    <w:rPr>
      <w:b/>
      <w:bCs/>
    </w:rPr>
  </w:style>
  <w:style w:type="character" w:customStyle="1" w:styleId="CommentSubjectChar">
    <w:name w:val="Comment Subject Char"/>
    <w:basedOn w:val="CommentTextChar"/>
    <w:link w:val="CommentSubject"/>
    <w:rsid w:val="00E5653F"/>
    <w:rPr>
      <w:rFonts w:ascii="Arial" w:hAnsi="Arial"/>
      <w:b/>
      <w:bCs/>
    </w:rPr>
  </w:style>
  <w:style w:type="paragraph" w:styleId="BalloonText">
    <w:name w:val="Balloon Text"/>
    <w:basedOn w:val="Normal"/>
    <w:link w:val="BalloonTextChar"/>
    <w:rsid w:val="00E5653F"/>
    <w:rPr>
      <w:rFonts w:ascii="Tahoma" w:hAnsi="Tahoma" w:cs="Tahoma"/>
      <w:sz w:val="16"/>
      <w:szCs w:val="16"/>
    </w:rPr>
  </w:style>
  <w:style w:type="character" w:customStyle="1" w:styleId="BalloonTextChar">
    <w:name w:val="Balloon Text Char"/>
    <w:basedOn w:val="DefaultParagraphFont"/>
    <w:link w:val="BalloonText"/>
    <w:rsid w:val="00E5653F"/>
    <w:rPr>
      <w:rFonts w:ascii="Tahoma" w:hAnsi="Tahoma" w:cs="Tahoma"/>
      <w:sz w:val="16"/>
      <w:szCs w:val="16"/>
    </w:rPr>
  </w:style>
  <w:style w:type="paragraph" w:styleId="FootnoteText">
    <w:name w:val="footnote text"/>
    <w:basedOn w:val="Normal"/>
    <w:link w:val="FootnoteTextChar"/>
    <w:rsid w:val="00393EA5"/>
    <w:rPr>
      <w:sz w:val="20"/>
    </w:rPr>
  </w:style>
  <w:style w:type="character" w:customStyle="1" w:styleId="FootnoteTextChar">
    <w:name w:val="Footnote Text Char"/>
    <w:basedOn w:val="DefaultParagraphFont"/>
    <w:link w:val="FootnoteText"/>
    <w:rsid w:val="00393EA5"/>
    <w:rPr>
      <w:rFonts w:ascii="Arial" w:hAnsi="Arial"/>
    </w:rPr>
  </w:style>
  <w:style w:type="character" w:styleId="FootnoteReference">
    <w:name w:val="footnote reference"/>
    <w:basedOn w:val="DefaultParagraphFont"/>
    <w:rsid w:val="00393EA5"/>
    <w:rPr>
      <w:vertAlign w:val="superscript"/>
    </w:rPr>
  </w:style>
  <w:style w:type="paragraph" w:customStyle="1" w:styleId="Default">
    <w:name w:val="Default"/>
    <w:rsid w:val="00393EA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7820"/>
    <w:rPr>
      <w:rFonts w:cs="Times New Roman"/>
      <w:color w:val="0000FF"/>
      <w:u w:val="single"/>
    </w:rPr>
  </w:style>
  <w:style w:type="paragraph" w:styleId="PlainText">
    <w:name w:val="Plain Text"/>
    <w:basedOn w:val="Normal"/>
    <w:link w:val="PlainTextChar"/>
    <w:uiPriority w:val="99"/>
    <w:unhideWhenUsed/>
    <w:rsid w:val="00EA782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A7820"/>
    <w:rPr>
      <w:rFonts w:ascii="Consolas" w:eastAsiaTheme="minorHAnsi" w:hAnsi="Consolas" w:cstheme="minorBidi"/>
      <w:sz w:val="21"/>
      <w:szCs w:val="21"/>
      <w:lang w:eastAsia="en-US"/>
    </w:rPr>
  </w:style>
  <w:style w:type="paragraph" w:styleId="DocumentMap">
    <w:name w:val="Document Map"/>
    <w:basedOn w:val="Normal"/>
    <w:link w:val="DocumentMapChar"/>
    <w:rsid w:val="000B4104"/>
    <w:rPr>
      <w:rFonts w:ascii="Tahoma" w:hAnsi="Tahoma" w:cs="Tahoma"/>
      <w:sz w:val="16"/>
      <w:szCs w:val="16"/>
    </w:rPr>
  </w:style>
  <w:style w:type="character" w:customStyle="1" w:styleId="DocumentMapChar">
    <w:name w:val="Document Map Char"/>
    <w:basedOn w:val="DefaultParagraphFont"/>
    <w:link w:val="DocumentMap"/>
    <w:rsid w:val="000B4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527663">
      <w:bodyDiv w:val="1"/>
      <w:marLeft w:val="0"/>
      <w:marRight w:val="0"/>
      <w:marTop w:val="0"/>
      <w:marBottom w:val="0"/>
      <w:divBdr>
        <w:top w:val="none" w:sz="0" w:space="0" w:color="auto"/>
        <w:left w:val="none" w:sz="0" w:space="0" w:color="auto"/>
        <w:bottom w:val="none" w:sz="0" w:space="0" w:color="auto"/>
        <w:right w:val="none" w:sz="0" w:space="0" w:color="auto"/>
      </w:divBdr>
      <w:divsChild>
        <w:div w:id="272399096">
          <w:marLeft w:val="0"/>
          <w:marRight w:val="0"/>
          <w:marTop w:val="0"/>
          <w:marBottom w:val="0"/>
          <w:divBdr>
            <w:top w:val="none" w:sz="0" w:space="0" w:color="auto"/>
            <w:left w:val="none" w:sz="0" w:space="0" w:color="auto"/>
            <w:bottom w:val="none" w:sz="0" w:space="0" w:color="auto"/>
            <w:right w:val="none" w:sz="0" w:space="0" w:color="auto"/>
          </w:divBdr>
          <w:divsChild>
            <w:div w:id="1247307183">
              <w:marLeft w:val="0"/>
              <w:marRight w:val="0"/>
              <w:marTop w:val="0"/>
              <w:marBottom w:val="0"/>
              <w:divBdr>
                <w:top w:val="none" w:sz="0" w:space="0" w:color="auto"/>
                <w:left w:val="none" w:sz="0" w:space="0" w:color="auto"/>
                <w:bottom w:val="none" w:sz="0" w:space="0" w:color="auto"/>
                <w:right w:val="none" w:sz="0" w:space="0" w:color="auto"/>
              </w:divBdr>
              <w:divsChild>
                <w:div w:id="5056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6184">
          <w:marLeft w:val="0"/>
          <w:marRight w:val="150"/>
          <w:marTop w:val="0"/>
          <w:marBottom w:val="0"/>
          <w:divBdr>
            <w:top w:val="none" w:sz="0" w:space="0" w:color="auto"/>
            <w:left w:val="none" w:sz="0" w:space="0" w:color="auto"/>
            <w:bottom w:val="none" w:sz="0" w:space="0" w:color="auto"/>
            <w:right w:val="none" w:sz="0" w:space="0" w:color="auto"/>
          </w:divBdr>
        </w:div>
        <w:div w:id="1727872234">
          <w:marLeft w:val="0"/>
          <w:marRight w:val="0"/>
          <w:marTop w:val="0"/>
          <w:marBottom w:val="0"/>
          <w:divBdr>
            <w:top w:val="none" w:sz="0" w:space="0" w:color="auto"/>
            <w:left w:val="none" w:sz="0" w:space="0" w:color="auto"/>
            <w:bottom w:val="none" w:sz="0" w:space="0" w:color="auto"/>
            <w:right w:val="none" w:sz="0" w:space="0" w:color="auto"/>
          </w:divBdr>
        </w:div>
        <w:div w:id="458115301">
          <w:marLeft w:val="0"/>
          <w:marRight w:val="0"/>
          <w:marTop w:val="0"/>
          <w:marBottom w:val="0"/>
          <w:divBdr>
            <w:top w:val="none" w:sz="0" w:space="0" w:color="auto"/>
            <w:left w:val="none" w:sz="0" w:space="0" w:color="auto"/>
            <w:bottom w:val="none" w:sz="0" w:space="0" w:color="auto"/>
            <w:right w:val="none" w:sz="0" w:space="0" w:color="auto"/>
          </w:divBdr>
          <w:divsChild>
            <w:div w:id="276646517">
              <w:marLeft w:val="0"/>
              <w:marRight w:val="0"/>
              <w:marTop w:val="0"/>
              <w:marBottom w:val="0"/>
              <w:divBdr>
                <w:top w:val="none" w:sz="0" w:space="0" w:color="auto"/>
                <w:left w:val="none" w:sz="0" w:space="0" w:color="auto"/>
                <w:bottom w:val="none" w:sz="0" w:space="0" w:color="auto"/>
                <w:right w:val="none" w:sz="0" w:space="0" w:color="auto"/>
              </w:divBdr>
              <w:divsChild>
                <w:div w:id="21356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2898">
          <w:marLeft w:val="0"/>
          <w:marRight w:val="150"/>
          <w:marTop w:val="0"/>
          <w:marBottom w:val="0"/>
          <w:divBdr>
            <w:top w:val="none" w:sz="0" w:space="0" w:color="auto"/>
            <w:left w:val="none" w:sz="0" w:space="0" w:color="auto"/>
            <w:bottom w:val="none" w:sz="0" w:space="0" w:color="auto"/>
            <w:right w:val="none" w:sz="0" w:space="0" w:color="auto"/>
          </w:divBdr>
        </w:div>
        <w:div w:id="1853494295">
          <w:marLeft w:val="0"/>
          <w:marRight w:val="0"/>
          <w:marTop w:val="0"/>
          <w:marBottom w:val="0"/>
          <w:divBdr>
            <w:top w:val="none" w:sz="0" w:space="0" w:color="auto"/>
            <w:left w:val="none" w:sz="0" w:space="0" w:color="auto"/>
            <w:bottom w:val="none" w:sz="0" w:space="0" w:color="auto"/>
            <w:right w:val="none" w:sz="0" w:space="0" w:color="auto"/>
          </w:divBdr>
        </w:div>
        <w:div w:id="1637566401">
          <w:marLeft w:val="0"/>
          <w:marRight w:val="0"/>
          <w:marTop w:val="0"/>
          <w:marBottom w:val="0"/>
          <w:divBdr>
            <w:top w:val="none" w:sz="0" w:space="0" w:color="auto"/>
            <w:left w:val="none" w:sz="0" w:space="0" w:color="auto"/>
            <w:bottom w:val="none" w:sz="0" w:space="0" w:color="auto"/>
            <w:right w:val="none" w:sz="0" w:space="0" w:color="auto"/>
          </w:divBdr>
          <w:divsChild>
            <w:div w:id="52192759">
              <w:marLeft w:val="0"/>
              <w:marRight w:val="0"/>
              <w:marTop w:val="0"/>
              <w:marBottom w:val="0"/>
              <w:divBdr>
                <w:top w:val="none" w:sz="0" w:space="0" w:color="auto"/>
                <w:left w:val="none" w:sz="0" w:space="0" w:color="auto"/>
                <w:bottom w:val="none" w:sz="0" w:space="0" w:color="auto"/>
                <w:right w:val="none" w:sz="0" w:space="0" w:color="auto"/>
              </w:divBdr>
              <w:divsChild>
                <w:div w:id="10513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1947">
          <w:marLeft w:val="0"/>
          <w:marRight w:val="150"/>
          <w:marTop w:val="0"/>
          <w:marBottom w:val="0"/>
          <w:divBdr>
            <w:top w:val="none" w:sz="0" w:space="0" w:color="auto"/>
            <w:left w:val="none" w:sz="0" w:space="0" w:color="auto"/>
            <w:bottom w:val="none" w:sz="0" w:space="0" w:color="auto"/>
            <w:right w:val="none" w:sz="0" w:space="0" w:color="auto"/>
          </w:divBdr>
        </w:div>
        <w:div w:id="664436218">
          <w:marLeft w:val="0"/>
          <w:marRight w:val="0"/>
          <w:marTop w:val="0"/>
          <w:marBottom w:val="0"/>
          <w:divBdr>
            <w:top w:val="none" w:sz="0" w:space="0" w:color="auto"/>
            <w:left w:val="none" w:sz="0" w:space="0" w:color="auto"/>
            <w:bottom w:val="none" w:sz="0" w:space="0" w:color="auto"/>
            <w:right w:val="none" w:sz="0" w:space="0" w:color="auto"/>
          </w:divBdr>
        </w:div>
        <w:div w:id="1301107185">
          <w:marLeft w:val="0"/>
          <w:marRight w:val="0"/>
          <w:marTop w:val="0"/>
          <w:marBottom w:val="0"/>
          <w:divBdr>
            <w:top w:val="none" w:sz="0" w:space="0" w:color="auto"/>
            <w:left w:val="none" w:sz="0" w:space="0" w:color="auto"/>
            <w:bottom w:val="none" w:sz="0" w:space="0" w:color="auto"/>
            <w:right w:val="none" w:sz="0" w:space="0" w:color="auto"/>
          </w:divBdr>
          <w:divsChild>
            <w:div w:id="1879127616">
              <w:marLeft w:val="0"/>
              <w:marRight w:val="0"/>
              <w:marTop w:val="0"/>
              <w:marBottom w:val="0"/>
              <w:divBdr>
                <w:top w:val="none" w:sz="0" w:space="0" w:color="auto"/>
                <w:left w:val="none" w:sz="0" w:space="0" w:color="auto"/>
                <w:bottom w:val="none" w:sz="0" w:space="0" w:color="auto"/>
                <w:right w:val="none" w:sz="0" w:space="0" w:color="auto"/>
              </w:divBdr>
              <w:divsChild>
                <w:div w:id="343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0701">
          <w:marLeft w:val="0"/>
          <w:marRight w:val="150"/>
          <w:marTop w:val="0"/>
          <w:marBottom w:val="0"/>
          <w:divBdr>
            <w:top w:val="none" w:sz="0" w:space="0" w:color="auto"/>
            <w:left w:val="none" w:sz="0" w:space="0" w:color="auto"/>
            <w:bottom w:val="none" w:sz="0" w:space="0" w:color="auto"/>
            <w:right w:val="none" w:sz="0" w:space="0" w:color="auto"/>
          </w:divBdr>
        </w:div>
        <w:div w:id="616326920">
          <w:marLeft w:val="0"/>
          <w:marRight w:val="0"/>
          <w:marTop w:val="0"/>
          <w:marBottom w:val="0"/>
          <w:divBdr>
            <w:top w:val="none" w:sz="0" w:space="0" w:color="auto"/>
            <w:left w:val="none" w:sz="0" w:space="0" w:color="auto"/>
            <w:bottom w:val="none" w:sz="0" w:space="0" w:color="auto"/>
            <w:right w:val="none" w:sz="0" w:space="0" w:color="auto"/>
          </w:divBdr>
        </w:div>
      </w:divsChild>
    </w:div>
    <w:div w:id="1723597891">
      <w:bodyDiv w:val="1"/>
      <w:marLeft w:val="0"/>
      <w:marRight w:val="0"/>
      <w:marTop w:val="0"/>
      <w:marBottom w:val="0"/>
      <w:divBdr>
        <w:top w:val="none" w:sz="0" w:space="0" w:color="auto"/>
        <w:left w:val="none" w:sz="0" w:space="0" w:color="auto"/>
        <w:bottom w:val="none" w:sz="0" w:space="0" w:color="auto"/>
        <w:right w:val="none" w:sz="0" w:space="0" w:color="auto"/>
      </w:divBdr>
    </w:div>
    <w:div w:id="20132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fimister@rnib.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18B49-BB16-443A-974E-482BCAF0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3108</Words>
  <Characters>16062</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PJoshi</dc:creator>
  <cp:lastModifiedBy>LRhodes</cp:lastModifiedBy>
  <cp:revision>2</cp:revision>
  <cp:lastPrinted>2016-12-21T17:36:00Z</cp:lastPrinted>
  <dcterms:created xsi:type="dcterms:W3CDTF">2017-04-11T16:11:00Z</dcterms:created>
  <dcterms:modified xsi:type="dcterms:W3CDTF">2017-04-11T16:11:00Z</dcterms:modified>
</cp:coreProperties>
</file>